
<file path=[Content_Types].xml><?xml version="1.0" encoding="utf-8"?>
<Types xmlns="http://schemas.openxmlformats.org/package/2006/content-types">
  <Default Extension="xml" ContentType="application/xml"/>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4484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94BA5D">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BE8D88">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13.020.40"/>
                  </w:textInput>
                </w:ffData>
              </w:fldChar>
            </w:r>
            <w:r>
              <w:rPr>
                <w:rFonts w:ascii="黑体" w:hAnsi="黑体" w:eastAsia="黑体"/>
                <w:sz w:val="21"/>
                <w:szCs w:val="21"/>
              </w:rPr>
              <w:instrText xml:space="preserve"> </w:instrText>
            </w:r>
            <w:bookmarkStart w:id="0" w:name="ICS"/>
            <w:r>
              <w:rPr>
                <w:rFonts w:ascii="黑体" w:hAnsi="黑体" w:eastAsia="黑体"/>
                <w:sz w:val="21"/>
                <w:szCs w:val="21"/>
              </w:rPr>
              <w:instrText xml:space="preserve">FORMTEXT </w:instrText>
            </w:r>
            <w:r>
              <w:rPr>
                <w:rFonts w:ascii="黑体" w:hAnsi="黑体" w:eastAsia="黑体"/>
                <w:sz w:val="21"/>
                <w:szCs w:val="21"/>
              </w:rPr>
              <w:fldChar w:fldCharType="separate"/>
            </w:r>
            <w:r>
              <w:rPr>
                <w:rFonts w:ascii="黑体" w:hAnsi="黑体" w:eastAsia="黑体"/>
                <w:sz w:val="21"/>
                <w:szCs w:val="21"/>
              </w:rPr>
              <w:t>13.020.40</w:t>
            </w:r>
            <w:r>
              <w:rPr>
                <w:rFonts w:ascii="黑体" w:hAnsi="黑体" w:eastAsia="黑体"/>
                <w:sz w:val="21"/>
                <w:szCs w:val="21"/>
              </w:rPr>
              <w:fldChar w:fldCharType="end"/>
            </w:r>
            <w:bookmarkEnd w:id="0"/>
          </w:p>
        </w:tc>
      </w:tr>
      <w:tr w14:paraId="0F571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81F88D">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C2916A9">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Z 05"/>
                  </w:textInput>
                </w:ffData>
              </w:fldChar>
            </w:r>
            <w:r>
              <w:rPr>
                <w:rFonts w:hint="eastAsia" w:ascii="黑体" w:hAnsi="黑体" w:eastAsia="黑体"/>
                <w:sz w:val="21"/>
                <w:szCs w:val="21"/>
              </w:rPr>
              <w:instrText xml:space="preserve"> </w:instrText>
            </w:r>
            <w:bookmarkStart w:id="1" w:name="CSDN"/>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Z 05</w:t>
            </w:r>
            <w:r>
              <w:rPr>
                <w:rFonts w:hint="eastAsia"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E5E24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B4B2F31">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2"/>
                    <w:maxLength w:val="8"/>
                  </w:textInput>
                </w:ffData>
              </w:fldChar>
            </w:r>
            <w:bookmarkStart w:id="3" w:name="c1"/>
            <w:r>
              <w:instrText xml:space="preserve"> FORMTEXT </w:instrText>
            </w:r>
            <w:r>
              <w:fldChar w:fldCharType="separate"/>
            </w:r>
            <w:r>
              <w:t>32</w:t>
            </w:r>
            <w:r>
              <w:fldChar w:fldCharType="end"/>
            </w:r>
            <w:bookmarkEnd w:id="3"/>
          </w:p>
        </w:tc>
      </w:tr>
    </w:tbl>
    <w:p w14:paraId="6CB0B078">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16EE653">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32/T"/>
            </w:textInput>
          </w:ffData>
        </w:fldChar>
      </w:r>
      <w:bookmarkStart w:id="5" w:name="文字1"/>
      <w:r>
        <w:instrText xml:space="preserve"> FORMTEXT </w:instrText>
      </w:r>
      <w:r>
        <w:fldChar w:fldCharType="separate"/>
      </w:r>
      <w: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686EC60">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126D9C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hint="eastAsia" w:ascii="黑体" w:hAnsi="黑体" w:eastAsia="黑体"/>
          <w:kern w:val="0"/>
          <w:sz w:val="10"/>
          <w:szCs w:val="10"/>
        </w:rPr>
        <w:t>2</w:t>
      </w:r>
      <w:r>
        <w:rPr>
          <w:rFonts w:ascii="黑体" w:hAnsi="黑体" w:eastAsia="黑体"/>
          <w:kern w:val="0"/>
          <w:sz w:val="10"/>
          <w:szCs w:val="10"/>
        </w:rPr>
        <w:t>3</w:t>
      </w:r>
    </w:p>
    <w:p w14:paraId="6A7D2B90">
      <w:pPr>
        <w:pStyle w:val="53"/>
        <w:framePr w:w="9639" w:h="6976" w:hRule="exact" w:hSpace="0" w:vSpace="0" w:wrap="around" w:hAnchor="page" w:y="6408"/>
        <w:jc w:val="center"/>
        <w:rPr>
          <w:rFonts w:hint="eastAsia" w:ascii="黑体" w:hAnsi="黑体" w:eastAsia="黑体"/>
          <w:b w:val="0"/>
          <w:bCs w:val="0"/>
          <w:w w:val="100"/>
        </w:rPr>
      </w:pPr>
    </w:p>
    <w:p w14:paraId="5EFD1AB6">
      <w:pPr>
        <w:pStyle w:val="200"/>
        <w:framePr w:h="6974" w:hRule="exact" w:wrap="around" w:x="1419" w:anchorLock="1"/>
        <w:rPr>
          <w:rFonts w:hint="eastAsia"/>
        </w:rPr>
      </w:pPr>
      <w:bookmarkStart w:id="9" w:name="_Hlk176958668"/>
      <w:r>
        <w:rPr>
          <w:rFonts w:hint="eastAsia"/>
        </w:rPr>
        <w:t>磁混凝沉淀水处理技术规范</w:t>
      </w:r>
    </w:p>
    <w:bookmarkEnd w:id="9"/>
    <w:p w14:paraId="2EF6AB6F">
      <w:pPr>
        <w:framePr w:w="9639" w:h="6974" w:hRule="exact" w:wrap="around" w:vAnchor="page" w:hAnchor="page" w:x="1419" w:y="6408" w:anchorLock="1"/>
        <w:ind w:left="-1418"/>
      </w:pPr>
    </w:p>
    <w:p w14:paraId="481B89B4">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 for magnetic coagulation precipition water treatment"/>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magnetic coagulation precipit</w:t>
      </w:r>
      <w:r>
        <w:rPr>
          <w:rFonts w:hint="eastAsia" w:eastAsia="黑体"/>
          <w:szCs w:val="28"/>
        </w:rPr>
        <w:t>at</w:t>
      </w:r>
      <w:r>
        <w:rPr>
          <w:rFonts w:eastAsia="黑体"/>
          <w:szCs w:val="28"/>
        </w:rPr>
        <w:t>ion water treatment</w:t>
      </w:r>
      <w:r>
        <w:rPr>
          <w:rFonts w:eastAsia="黑体"/>
          <w:szCs w:val="28"/>
        </w:rPr>
        <w:fldChar w:fldCharType="end"/>
      </w:r>
      <w:bookmarkEnd w:id="10"/>
    </w:p>
    <w:p w14:paraId="637EAA10">
      <w:pPr>
        <w:framePr w:w="9639" w:h="6974" w:hRule="exact" w:wrap="around" w:vAnchor="page" w:hAnchor="page" w:x="1419" w:y="6408" w:anchorLock="1"/>
        <w:spacing w:line="760" w:lineRule="exact"/>
        <w:ind w:left="-1418"/>
      </w:pPr>
    </w:p>
    <w:p w14:paraId="0D4F0254">
      <w:pPr>
        <w:pStyle w:val="128"/>
        <w:framePr w:w="9639" w:h="6974" w:hRule="exact" w:wrap="around" w:vAnchor="page" w:hAnchor="page" w:x="1419" w:y="6408" w:anchorLock="1"/>
        <w:textAlignment w:val="bottom"/>
        <w:rPr>
          <w:rFonts w:eastAsia="黑体"/>
          <w:szCs w:val="28"/>
        </w:rPr>
      </w:pPr>
    </w:p>
    <w:p w14:paraId="2B19142D">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0568DB0">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w:instrText>
      </w:r>
      <w:bookmarkStart w:id="12" w:name="下拉2"/>
      <w:r>
        <w:rPr>
          <w:b/>
          <w:sz w:val="21"/>
          <w:szCs w:val="28"/>
        </w:rPr>
        <w:instrText xml:space="preserve">FORMDROPDOWN </w:instrText>
      </w:r>
      <w:r>
        <w:rPr>
          <w:b/>
          <w:sz w:val="21"/>
          <w:szCs w:val="28"/>
        </w:rPr>
        <w:fldChar w:fldCharType="separate"/>
      </w:r>
      <w:r>
        <w:rPr>
          <w:b/>
          <w:sz w:val="21"/>
          <w:szCs w:val="28"/>
        </w:rPr>
        <w:fldChar w:fldCharType="end"/>
      </w:r>
      <w:bookmarkEnd w:id="12"/>
    </w:p>
    <w:p w14:paraId="33866B6F">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6D45AA3">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BA60CD5">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default w:val="江苏省市场监督管理局"/>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8FC14C8">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68B290">
      <w:pPr>
        <w:pStyle w:val="94"/>
        <w:spacing w:after="468"/>
      </w:pPr>
      <w:bookmarkStart w:id="20" w:name="BookMark1"/>
      <w:bookmarkStart w:id="21" w:name="_Toc90918462"/>
      <w:bookmarkStart w:id="22" w:name="_Toc112144685"/>
      <w:bookmarkStart w:id="23" w:name="_Toc112224469"/>
      <w:bookmarkStart w:id="24" w:name="_Toc118991557"/>
      <w:bookmarkStart w:id="25" w:name="_Toc114845562"/>
      <w:bookmarkStart w:id="26" w:name="_Toc90918365"/>
      <w:bookmarkStart w:id="27" w:name="_Toc126055479"/>
      <w:bookmarkStart w:id="28" w:name="_Toc134185981"/>
      <w:bookmarkStart w:id="29" w:name="_Toc128675545"/>
      <w:bookmarkStart w:id="30" w:name="_Toc128675748"/>
      <w:bookmarkStart w:id="31" w:name="_Toc133336314"/>
      <w:bookmarkStart w:id="32" w:name="_Toc133498521"/>
      <w:bookmarkStart w:id="33" w:name="_Toc135742113"/>
      <w:bookmarkStart w:id="34" w:name="_Toc146718657"/>
      <w:bookmarkStart w:id="35" w:name="_Toc135742085"/>
      <w:bookmarkStart w:id="36" w:name="_Toc135746973"/>
      <w:r>
        <w:rPr>
          <w:rFonts w:hint="eastAsia"/>
          <w:spacing w:val="320"/>
        </w:rPr>
        <w:t>目</w:t>
      </w:r>
      <w:r>
        <w:rPr>
          <w:rFonts w:hint="eastAsia"/>
        </w:rPr>
        <w:t>次</w:t>
      </w:r>
    </w:p>
    <w:p w14:paraId="2B52A143">
      <w:pPr>
        <w:pStyle w:val="20"/>
        <w:tabs>
          <w:tab w:val="right" w:leader="dot" w:pos="9344"/>
        </w:tabs>
        <w:rPr>
          <w:rFonts w:ascii="Times New Roman" w:hAnsi="Times New Roman" w:eastAsiaTheme="minorEastAsia"/>
          <w:szCs w:val="22"/>
          <w14:ligatures w14:val="standardContextual"/>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r>
        <w:fldChar w:fldCharType="begin"/>
      </w:r>
      <w:r>
        <w:instrText xml:space="preserve"> HYPERLINK \l "_Toc173937683" </w:instrText>
      </w:r>
      <w:r>
        <w:fldChar w:fldCharType="separate"/>
      </w:r>
      <w:r>
        <w:rPr>
          <w:rStyle w:val="34"/>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_Toc173937683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1C014E60">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"_Toc173937684" </w:instrText>
      </w:r>
      <w:r>
        <w:fldChar w:fldCharType="separate"/>
      </w:r>
      <w:r>
        <w:rPr>
          <w:rStyle w:val="34"/>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92873D7">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"_Toc173937685" </w:instrText>
      </w:r>
      <w:r>
        <w:fldChar w:fldCharType="separate"/>
      </w:r>
      <w:r>
        <w:rPr>
          <w:rStyle w:val="34"/>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FF0FD70">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"_Toc173937686" </w:instrText>
      </w:r>
      <w:r>
        <w:fldChar w:fldCharType="separate"/>
      </w:r>
      <w:r>
        <w:rPr>
          <w:rStyle w:val="34"/>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_Toc173937686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7B376EC0">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"_Toc173937687" </w:instrText>
      </w:r>
      <w:r>
        <w:fldChar w:fldCharType="separate"/>
      </w:r>
      <w:r>
        <w:rPr>
          <w:rStyle w:val="34"/>
          <w:rFonts w:ascii="Times New Roman"/>
        </w:rPr>
        <w:t>4 系统单元及工艺流程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18A0BD61">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"_Toc173937688" </w:instrText>
      </w:r>
      <w:r>
        <w:fldChar w:fldCharType="separate"/>
      </w:r>
      <w:r>
        <w:rPr>
          <w:rStyle w:val="34"/>
          <w:rFonts w:ascii="Times New Roman"/>
        </w:rPr>
        <w:t>5 技术要求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_Toc173937688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698DEF01">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"_Toc173937689" </w:instrText>
      </w:r>
      <w:r>
        <w:fldChar w:fldCharType="separate"/>
      </w:r>
      <w:r>
        <w:rPr>
          <w:rStyle w:val="34"/>
          <w:rFonts w:ascii="Times New Roman"/>
        </w:rPr>
        <w:t>6 调试与验收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_Toc173937689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0516DF1F">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"_Toc173937690" </w:instrText>
      </w:r>
      <w:r>
        <w:fldChar w:fldCharType="separate"/>
      </w:r>
      <w:r>
        <w:rPr>
          <w:rStyle w:val="34"/>
          <w:rFonts w:ascii="Times New Roman"/>
        </w:rPr>
        <w:t>7 运行与维护</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_Toc173937690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597A4F00">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"_Toc173937691" </w:instrText>
      </w:r>
      <w:r>
        <w:fldChar w:fldCharType="separate"/>
      </w:r>
      <w:r>
        <w:rPr>
          <w:rStyle w:val="34"/>
          <w:rFonts w:ascii="Times New Roman"/>
        </w:rPr>
        <w:t>附录A （资料性） 各单元结构示意图</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_Toc173937691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44358951">
      <w:pPr>
        <w:pStyle w:val="20"/>
        <w:tabs>
          <w:tab w:val="right" w:leader="dot" w:pos="9344"/>
        </w:tabs>
        <w:rPr>
          <w:rFonts w:ascii="Times New Roman" w:hAnsi="Times New Roman" w:eastAsiaTheme="minorEastAsia"/>
          <w:szCs w:val="22"/>
          <w14:ligatures w14:val="standardContextual"/>
        </w:rPr>
      </w:pPr>
      <w:r>
        <w:fldChar w:fldCharType="begin"/>
      </w:r>
      <w:r>
        <w:instrText xml:space="preserve"> HYPERLINK \l "_Toc173937692" </w:instrText>
      </w:r>
      <w:r>
        <w:fldChar w:fldCharType="separate"/>
      </w:r>
      <w:r>
        <w:rPr>
          <w:rStyle w:val="34"/>
          <w:rFonts w:ascii="Times New Roman"/>
        </w:rPr>
        <w:t>参考文献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_Toc173937692 \h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r>
        <w:rPr>
          <w:rFonts w:ascii="Times New Roman" w:hAnsi="Times New Roman"/>
        </w:rPr>
        <w:fldChar w:fldCharType="end"/>
      </w:r>
    </w:p>
    <w:p w14:paraId="02EBF4DD">
      <w:pPr>
        <w:pStyle w:val="94"/>
        <w:spacing w:after="468"/>
        <w:sectPr>
          <w:headerReference r:id="rId10" w:type="default"/>
          <w:footerReference r:id="rId12" w:type="default"/>
          <w:headerReference r:id="rId11" w:type="even"/>
          <w:footerReference r:id="rId13" w:type="even"/>
          <w:pgSz w:w="11906" w:h="16838"/>
          <w:pgMar w:top="2410"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0"/>
    <w:p w14:paraId="2341F830">
      <w:pPr>
        <w:pStyle w:val="92"/>
        <w:spacing w:after="468"/>
      </w:pPr>
      <w:bookmarkStart w:id="37" w:name="_Toc173937683"/>
      <w:bookmarkStart w:id="38" w:name="BookMark2"/>
      <w:r>
        <w:rPr>
          <w:spacing w:val="320"/>
        </w:rPr>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BDDFCD">
      <w:pPr>
        <w:pStyle w:val="59"/>
        <w:ind w:firstLine="420"/>
        <w:rPr>
          <w:rFonts w:ascii="Times New Roman"/>
        </w:rPr>
      </w:pPr>
      <w:r>
        <w:rPr>
          <w:rFonts w:hint="eastAsia" w:ascii="Times New Roman"/>
        </w:rPr>
        <w:t>本文件按照</w:t>
      </w:r>
      <w:r>
        <w:rPr>
          <w:rFonts w:ascii="Times New Roman"/>
        </w:rPr>
        <w:t>GB/T 1.1—2020</w:t>
      </w:r>
      <w:r>
        <w:rPr>
          <w:rFonts w:hint="eastAsia" w:ascii="Times New Roman"/>
        </w:rPr>
        <w:t>《标准化工作导则</w:t>
      </w:r>
      <w:r>
        <w:rPr>
          <w:rFonts w:ascii="Times New Roman"/>
        </w:rPr>
        <w:t xml:space="preserve">  </w:t>
      </w:r>
      <w:r>
        <w:rPr>
          <w:rFonts w:hint="eastAsia" w:ascii="Times New Roman"/>
        </w:rPr>
        <w:t>第</w:t>
      </w:r>
      <w:r>
        <w:rPr>
          <w:rFonts w:ascii="Times New Roman"/>
        </w:rPr>
        <w:t>1</w:t>
      </w:r>
      <w:r>
        <w:rPr>
          <w:rFonts w:hint="eastAsia" w:ascii="Times New Roman"/>
        </w:rPr>
        <w:t>部分：标准化文件的结构和起草规则》的规定起草。</w:t>
      </w:r>
    </w:p>
    <w:p w14:paraId="45A96E5D">
      <w:pPr>
        <w:pStyle w:val="59"/>
        <w:ind w:firstLine="420"/>
      </w:pPr>
      <w:r>
        <w:rPr>
          <w:rFonts w:hint="eastAsia"/>
        </w:rPr>
        <w:t>请注意本文件的某些内容可能涉及专利。本文件的发布机构不承担识别专利的责任。</w:t>
      </w:r>
    </w:p>
    <w:p w14:paraId="60C6AD4E">
      <w:pPr>
        <w:pStyle w:val="59"/>
        <w:ind w:firstLine="420"/>
      </w:pPr>
      <w:r>
        <w:rPr>
          <w:rFonts w:hint="eastAsia"/>
        </w:rPr>
        <w:t>本文件由江苏省环保产业标准化技术委员会提出</w:t>
      </w:r>
      <w:r>
        <w:rPr>
          <w:rFonts w:hint="eastAsia"/>
          <w:lang w:eastAsia="zh-CN"/>
        </w:rPr>
        <w:t>、</w:t>
      </w:r>
      <w:r>
        <w:rPr>
          <w:rFonts w:hint="eastAsia"/>
        </w:rPr>
        <w:t>归口</w:t>
      </w:r>
      <w:r>
        <w:rPr>
          <w:rFonts w:hint="eastAsia"/>
          <w:lang w:val="en-US" w:eastAsia="zh-CN"/>
        </w:rPr>
        <w:t>并组织实施</w:t>
      </w:r>
      <w:r>
        <w:rPr>
          <w:rFonts w:hint="eastAsia"/>
        </w:rPr>
        <w:t>。</w:t>
      </w:r>
    </w:p>
    <w:p w14:paraId="5E6EDAEE">
      <w:pPr>
        <w:pStyle w:val="59"/>
        <w:ind w:firstLine="420"/>
      </w:pPr>
      <w:bookmarkStart w:id="39" w:name="_Hlk176960181"/>
      <w:r>
        <w:rPr>
          <w:rFonts w:hint="eastAsia"/>
        </w:rPr>
        <w:t>本文件起草单位：</w:t>
      </w:r>
      <w:bookmarkStart w:id="40" w:name="OLE_LINK3"/>
      <w:r>
        <w:rPr>
          <w:rFonts w:hint="eastAsia"/>
        </w:rPr>
        <w:t>南京大学、中节能兆盛环保有限公司、江苏京源环保股份有限公司、南京大学宜兴环保研究院、无锡西玖环保科技有限公司、</w:t>
      </w:r>
      <w:bookmarkStart w:id="41" w:name="OLE_LINK2"/>
      <w:r>
        <w:rPr>
          <w:rFonts w:hint="eastAsia"/>
        </w:rPr>
        <w:t>江苏中宜环境科技有限公司</w:t>
      </w:r>
      <w:bookmarkEnd w:id="40"/>
      <w:bookmarkEnd w:id="41"/>
      <w:r>
        <w:rPr>
          <w:rFonts w:hint="eastAsia"/>
        </w:rPr>
        <w:t>。</w:t>
      </w:r>
    </w:p>
    <w:p w14:paraId="09D2941B">
      <w:pPr>
        <w:pStyle w:val="59"/>
        <w:ind w:firstLine="420"/>
        <w:sectPr>
          <w:pgSz w:w="11906" w:h="16838"/>
          <w:pgMar w:top="2410" w:right="1134" w:bottom="1134" w:left="1134" w:header="1418" w:footer="1134" w:gutter="284"/>
          <w:pgNumType w:fmt="upperRoman"/>
          <w:cols w:space="425" w:num="1"/>
          <w:formProt w:val="0"/>
          <w:docGrid w:type="lines" w:linePitch="312" w:charSpace="0"/>
        </w:sectPr>
      </w:pPr>
      <w:r>
        <w:rPr>
          <w:rFonts w:hint="eastAsia"/>
        </w:rPr>
        <w:t>本文件主要起草人：任洪强、许柯、耿金菊、吕刚、季献华、陈静、钱俊、贾伯林、蒋平、熊晓敏、王瑾丰、丁丽丽、林原、王庆、桂忠仁。</w:t>
      </w:r>
      <w:bookmarkEnd w:id="39"/>
    </w:p>
    <w:bookmarkEnd w:id="38"/>
    <w:p w14:paraId="2413A201">
      <w:pPr>
        <w:spacing w:line="20" w:lineRule="exact"/>
        <w:jc w:val="center"/>
        <w:rPr>
          <w:rFonts w:hint="eastAsia" w:ascii="黑体" w:hAnsi="黑体" w:eastAsia="黑体"/>
          <w:sz w:val="32"/>
          <w:szCs w:val="32"/>
        </w:rPr>
      </w:pPr>
      <w:bookmarkStart w:id="42" w:name="BookMark4"/>
    </w:p>
    <w:p w14:paraId="203ABE68">
      <w:pPr>
        <w:spacing w:line="20" w:lineRule="exact"/>
        <w:jc w:val="center"/>
        <w:rPr>
          <w:rFonts w:hint="eastAsia" w:ascii="黑体" w:hAnsi="黑体" w:eastAsia="黑体"/>
          <w:sz w:val="32"/>
          <w:szCs w:val="32"/>
        </w:rPr>
      </w:pPr>
    </w:p>
    <w:sdt>
      <w:sdtPr>
        <w:tag w:val="NEW_STAND_NAME"/>
        <w:id w:val="595910757"/>
        <w:lock w:val="sdtLocked"/>
        <w:placeholder>
          <w:docPart w:val="B17D3D2A97DC450FAE045D43D89759A5"/>
        </w:placeholder>
      </w:sdtPr>
      <w:sdtContent>
        <w:p w14:paraId="08A75E8C">
          <w:pPr>
            <w:pStyle w:val="180"/>
            <w:spacing w:before="312" w:beforeLines="100" w:after="686" w:afterLines="220"/>
            <w:rPr>
              <w:rFonts w:hint="eastAsia"/>
            </w:rPr>
          </w:pPr>
          <w:bookmarkStart w:id="294" w:name="_GoBack"/>
          <w:bookmarkStart w:id="43" w:name="NEW_STAND_NAME"/>
          <w:r>
            <w:rPr>
              <w:rFonts w:hint="eastAsia"/>
            </w:rPr>
            <w:t>磁混凝沉淀水处理技术规范</w:t>
          </w:r>
          <w:bookmarkEnd w:id="294"/>
        </w:p>
      </w:sdtContent>
    </w:sdt>
    <w:bookmarkEnd w:id="43"/>
    <w:p w14:paraId="17E2CE45">
      <w:pPr>
        <w:pStyle w:val="107"/>
        <w:spacing w:before="312" w:after="312"/>
      </w:pPr>
      <w:bookmarkStart w:id="44" w:name="_Toc17233325"/>
      <w:bookmarkStart w:id="45" w:name="_Toc17233333"/>
      <w:bookmarkStart w:id="46" w:name="_Toc24884211"/>
      <w:bookmarkStart w:id="47" w:name="_Toc26986530"/>
      <w:bookmarkStart w:id="48" w:name="_Toc90918366"/>
      <w:bookmarkStart w:id="49" w:name="_Toc24884218"/>
      <w:bookmarkStart w:id="50" w:name="_Toc26986771"/>
      <w:bookmarkStart w:id="51" w:name="_Toc26648465"/>
      <w:bookmarkStart w:id="52" w:name="_Toc26718930"/>
      <w:bookmarkStart w:id="53" w:name="_Toc112144686"/>
      <w:bookmarkStart w:id="54" w:name="_Toc112224470"/>
      <w:bookmarkStart w:id="55" w:name="_Toc114845563"/>
      <w:bookmarkStart w:id="56" w:name="_Toc118991558"/>
      <w:bookmarkStart w:id="57" w:name="_Toc126055480"/>
      <w:bookmarkStart w:id="58" w:name="_Toc90918463"/>
      <w:bookmarkStart w:id="59" w:name="_Toc133498522"/>
      <w:bookmarkStart w:id="60" w:name="_Toc135742086"/>
      <w:bookmarkStart w:id="61" w:name="_Toc135742114"/>
      <w:bookmarkStart w:id="62" w:name="_Toc135746974"/>
      <w:bookmarkStart w:id="63" w:name="_Toc128675749"/>
      <w:bookmarkStart w:id="64" w:name="_Toc133336315"/>
      <w:bookmarkStart w:id="65" w:name="_Toc128675546"/>
      <w:bookmarkStart w:id="66" w:name="_Toc134185982"/>
      <w:bookmarkStart w:id="67" w:name="_Toc146718658"/>
      <w:bookmarkStart w:id="68" w:name="_Toc173937684"/>
      <w:r>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0723E13">
      <w:pPr>
        <w:pStyle w:val="59"/>
        <w:ind w:firstLine="420"/>
        <w:rPr>
          <w:rFonts w:ascii="Times New Roman"/>
        </w:rPr>
      </w:pPr>
      <w:r>
        <w:rPr>
          <w:rFonts w:ascii="Times New Roman"/>
        </w:rPr>
        <w:t>本文件规定了磁混凝沉淀水处理</w:t>
      </w:r>
      <w:r>
        <w:rPr>
          <w:rFonts w:hint="eastAsia" w:ascii="Times New Roman"/>
        </w:rPr>
        <w:t>工艺（以下简称磁混凝工艺）</w:t>
      </w:r>
      <w:r>
        <w:rPr>
          <w:rFonts w:ascii="Times New Roman"/>
        </w:rPr>
        <w:t>的</w:t>
      </w:r>
      <w:bookmarkStart w:id="69" w:name="_Hlk173845022"/>
      <w:r>
        <w:rPr>
          <w:rFonts w:ascii="Times New Roman"/>
        </w:rPr>
        <w:t>系统单元及工艺流程、技术要求、调试与验收、运行与维护</w:t>
      </w:r>
      <w:bookmarkEnd w:id="69"/>
      <w:r>
        <w:rPr>
          <w:rFonts w:ascii="Times New Roman"/>
        </w:rPr>
        <w:t>。</w:t>
      </w:r>
    </w:p>
    <w:p w14:paraId="730FE363">
      <w:pPr>
        <w:pStyle w:val="59"/>
        <w:ind w:firstLine="420"/>
        <w:rPr>
          <w:rFonts w:ascii="Times New Roman"/>
          <w:color w:val="000000" w:themeColor="text1"/>
          <w14:textFill>
            <w14:solidFill>
              <w14:schemeClr w14:val="tx1"/>
            </w14:solidFill>
          </w14:textFill>
        </w:rPr>
      </w:pPr>
      <w:bookmarkStart w:id="70" w:name="_Hlk174111225"/>
      <w:r>
        <w:rPr>
          <w:rFonts w:ascii="Times New Roman"/>
          <w:color w:val="000000" w:themeColor="text1"/>
          <w14:textFill>
            <w14:solidFill>
              <w14:schemeClr w14:val="tx1"/>
            </w14:solidFill>
          </w14:textFill>
        </w:rPr>
        <w:t>本文件适用于水处理工程中磁混凝</w:t>
      </w:r>
      <w:r>
        <w:rPr>
          <w:rFonts w:hint="eastAsia" w:ascii="Times New Roman"/>
          <w:color w:val="000000" w:themeColor="text1"/>
          <w14:textFill>
            <w14:solidFill>
              <w14:schemeClr w14:val="tx1"/>
            </w14:solidFill>
          </w14:textFill>
        </w:rPr>
        <w:t>工艺</w:t>
      </w:r>
      <w:r>
        <w:rPr>
          <w:rFonts w:ascii="Times New Roman"/>
          <w:color w:val="000000" w:themeColor="text1"/>
          <w14:textFill>
            <w14:solidFill>
              <w14:schemeClr w14:val="tx1"/>
            </w14:solidFill>
          </w14:textFill>
        </w:rPr>
        <w:t>的设计、施工验收和运行管理，</w:t>
      </w:r>
      <w:r>
        <w:rPr>
          <w:rFonts w:hint="eastAsia" w:ascii="Times New Roman"/>
          <w:color w:val="000000" w:themeColor="text1"/>
          <w14:textFill>
            <w14:solidFill>
              <w14:schemeClr w14:val="tx1"/>
            </w14:solidFill>
          </w14:textFill>
        </w:rPr>
        <w:t>以及</w:t>
      </w:r>
      <w:r>
        <w:rPr>
          <w:rFonts w:ascii="Times New Roman"/>
          <w:color w:val="000000" w:themeColor="text1"/>
          <w14:textFill>
            <w14:solidFill>
              <w14:schemeClr w14:val="tx1"/>
            </w14:solidFill>
          </w14:textFill>
        </w:rPr>
        <w:t>作为可行性研究、环境影响评价、工艺设计、工程验收和运行管理</w:t>
      </w:r>
      <w:r>
        <w:rPr>
          <w:rFonts w:hint="eastAsia" w:ascii="Times New Roman"/>
          <w:color w:val="000000" w:themeColor="text1"/>
          <w14:textFill>
            <w14:solidFill>
              <w14:schemeClr w14:val="tx1"/>
            </w14:solidFill>
          </w14:textFill>
        </w:rPr>
        <w:t>的</w:t>
      </w:r>
      <w:r>
        <w:rPr>
          <w:rFonts w:ascii="Times New Roman"/>
          <w:color w:val="000000" w:themeColor="text1"/>
          <w14:textFill>
            <w14:solidFill>
              <w14:schemeClr w14:val="tx1"/>
            </w14:solidFill>
          </w14:textFill>
        </w:rPr>
        <w:t>技术依据</w:t>
      </w:r>
      <w:bookmarkEnd w:id="70"/>
      <w:r>
        <w:rPr>
          <w:rFonts w:ascii="Times New Roman"/>
          <w:color w:val="000000" w:themeColor="text1"/>
          <w14:textFill>
            <w14:solidFill>
              <w14:schemeClr w14:val="tx1"/>
            </w14:solidFill>
          </w14:textFill>
        </w:rPr>
        <w:t>。</w:t>
      </w:r>
      <w:bookmarkStart w:id="71" w:name="_Toc17233326"/>
      <w:bookmarkStart w:id="72" w:name="_Toc17233334"/>
      <w:bookmarkStart w:id="73" w:name="_Toc24884219"/>
      <w:bookmarkStart w:id="74" w:name="_Toc24884212"/>
      <w:bookmarkStart w:id="75" w:name="_Toc26648466"/>
    </w:p>
    <w:p w14:paraId="43934141">
      <w:pPr>
        <w:pStyle w:val="107"/>
        <w:spacing w:before="312" w:after="312"/>
        <w:rPr>
          <w:rFonts w:ascii="Times New Roman"/>
        </w:rPr>
      </w:pPr>
      <w:bookmarkStart w:id="76" w:name="_Toc90918464"/>
      <w:bookmarkStart w:id="77" w:name="_Toc112144687"/>
      <w:bookmarkStart w:id="78" w:name="_Toc114845564"/>
      <w:bookmarkStart w:id="79" w:name="_Toc90918367"/>
      <w:bookmarkStart w:id="80" w:name="_Toc112224471"/>
      <w:bookmarkStart w:id="81" w:name="_Toc146718659"/>
      <w:bookmarkStart w:id="82" w:name="_Toc135746975"/>
      <w:bookmarkStart w:id="83" w:name="_Toc118991559"/>
      <w:bookmarkStart w:id="84" w:name="_Toc128675547"/>
      <w:bookmarkStart w:id="85" w:name="_Toc126055481"/>
      <w:bookmarkStart w:id="86" w:name="_Toc133336316"/>
      <w:bookmarkStart w:id="87" w:name="_Toc133498523"/>
      <w:bookmarkStart w:id="88" w:name="_Toc128675750"/>
      <w:bookmarkStart w:id="89" w:name="_Toc134185983"/>
      <w:bookmarkStart w:id="90" w:name="_Toc135742087"/>
      <w:bookmarkStart w:id="91" w:name="_Toc135742115"/>
      <w:bookmarkStart w:id="92" w:name="_Toc173937685"/>
      <w:bookmarkStart w:id="93" w:name="_Toc26986531"/>
      <w:bookmarkStart w:id="94" w:name="_Toc26986772"/>
      <w:bookmarkStart w:id="95" w:name="_Toc26718931"/>
      <w:r>
        <w:rPr>
          <w:rFonts w:ascii="Times New Roman"/>
        </w:rPr>
        <w:t>规范性引用文件</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sdt>
      <w:sdtPr>
        <w:rPr>
          <w:rFonts w:ascii="Times New Roman"/>
        </w:rPr>
        <w:id w:val="715848253"/>
        <w:placeholder>
          <w:docPart w:val="710070FA435040C793D3EEE0D1DE1D0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033B30DC">
          <w:pPr>
            <w:pStyle w:val="59"/>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BE0E75">
      <w:pPr>
        <w:pStyle w:val="59"/>
        <w:ind w:firstLine="420"/>
        <w:rPr>
          <w:rFonts w:ascii="Times New Roman"/>
        </w:rPr>
      </w:pPr>
      <w:r>
        <w:rPr>
          <w:rFonts w:ascii="Times New Roman"/>
        </w:rPr>
        <w:t>GB 12348  工业企业厂界环境噪声排放标准</w:t>
      </w:r>
    </w:p>
    <w:p w14:paraId="3A111D44">
      <w:pPr>
        <w:pStyle w:val="59"/>
        <w:ind w:firstLine="420"/>
        <w:rPr>
          <w:rFonts w:ascii="Times New Roman"/>
        </w:rPr>
      </w:pPr>
      <w:r>
        <w:rPr>
          <w:rFonts w:ascii="Times New Roman"/>
        </w:rPr>
        <w:t xml:space="preserve">GB 50013  </w:t>
      </w:r>
      <w:r>
        <w:rPr>
          <w:rFonts w:hint="eastAsia" w:ascii="Times New Roman"/>
        </w:rPr>
        <w:t>室外给水</w:t>
      </w:r>
      <w:r>
        <w:rPr>
          <w:rFonts w:ascii="Times New Roman"/>
        </w:rPr>
        <w:t>设计标准</w:t>
      </w:r>
    </w:p>
    <w:p w14:paraId="5746BA62">
      <w:pPr>
        <w:pStyle w:val="59"/>
        <w:ind w:firstLine="420"/>
        <w:rPr>
          <w:rFonts w:ascii="Times New Roman"/>
        </w:rPr>
      </w:pPr>
      <w:bookmarkStart w:id="96" w:name="OLE_LINK4"/>
      <w:r>
        <w:rPr>
          <w:rFonts w:ascii="Times New Roman"/>
        </w:rPr>
        <w:t>GB 50014</w:t>
      </w:r>
      <w:bookmarkEnd w:id="96"/>
      <w:r>
        <w:rPr>
          <w:rFonts w:ascii="Times New Roman"/>
        </w:rPr>
        <w:t xml:space="preserve">  </w:t>
      </w:r>
      <w:r>
        <w:rPr>
          <w:rFonts w:hint="eastAsia" w:ascii="Times New Roman"/>
        </w:rPr>
        <w:t>室外排水</w:t>
      </w:r>
      <w:r>
        <w:rPr>
          <w:rFonts w:ascii="Times New Roman"/>
        </w:rPr>
        <w:t>设计标准</w:t>
      </w:r>
    </w:p>
    <w:p w14:paraId="4F6184FE">
      <w:pPr>
        <w:pStyle w:val="59"/>
        <w:ind w:firstLine="420"/>
        <w:rPr>
          <w:rFonts w:ascii="Times New Roman"/>
        </w:rPr>
      </w:pPr>
      <w:r>
        <w:rPr>
          <w:rFonts w:ascii="Times New Roman"/>
        </w:rPr>
        <w:t>GB/T 50087  工业企业噪声控制设计规范</w:t>
      </w:r>
    </w:p>
    <w:p w14:paraId="345D5E28">
      <w:pPr>
        <w:pStyle w:val="59"/>
        <w:ind w:firstLine="420"/>
        <w:rPr>
          <w:rFonts w:ascii="Times New Roman"/>
        </w:rPr>
      </w:pPr>
      <w:bookmarkStart w:id="97" w:name="OLE_LINK5"/>
      <w:r>
        <w:rPr>
          <w:rFonts w:ascii="Times New Roman"/>
        </w:rPr>
        <w:t>GB 50141</w:t>
      </w:r>
      <w:bookmarkEnd w:id="97"/>
      <w:r>
        <w:rPr>
          <w:rFonts w:ascii="Times New Roman"/>
        </w:rPr>
        <w:t xml:space="preserve">  </w:t>
      </w:r>
      <w:r>
        <w:rPr>
          <w:rFonts w:hint="eastAsia" w:ascii="Times New Roman"/>
        </w:rPr>
        <w:t>给</w:t>
      </w:r>
      <w:r>
        <w:rPr>
          <w:rFonts w:ascii="Times New Roman"/>
        </w:rPr>
        <w:t>水排水构筑物工程施工及验收规范</w:t>
      </w:r>
    </w:p>
    <w:p w14:paraId="7CF1F381">
      <w:pPr>
        <w:pStyle w:val="59"/>
        <w:ind w:firstLine="420"/>
        <w:rPr>
          <w:rFonts w:ascii="Times New Roman"/>
        </w:rPr>
      </w:pPr>
      <w:r>
        <w:rPr>
          <w:rFonts w:ascii="Times New Roman"/>
        </w:rPr>
        <w:t>GB 50204  混凝土结构工程施工质量验收规范</w:t>
      </w:r>
    </w:p>
    <w:p w14:paraId="691786EF">
      <w:pPr>
        <w:pStyle w:val="59"/>
        <w:ind w:firstLine="420"/>
        <w:rPr>
          <w:rFonts w:ascii="Times New Roman"/>
        </w:rPr>
      </w:pPr>
      <w:r>
        <w:rPr>
          <w:rFonts w:ascii="Times New Roman"/>
        </w:rPr>
        <w:t>GB 50205  钢结构工程施工质量验收规范</w:t>
      </w:r>
    </w:p>
    <w:p w14:paraId="46A06E64">
      <w:pPr>
        <w:pStyle w:val="59"/>
        <w:ind w:firstLine="420"/>
        <w:rPr>
          <w:rFonts w:ascii="Times New Roman"/>
        </w:rPr>
      </w:pPr>
      <w:r>
        <w:rPr>
          <w:rFonts w:ascii="Times New Roman"/>
        </w:rPr>
        <w:t>GB 50334  城市污水处理厂工程质量验收规范</w:t>
      </w:r>
    </w:p>
    <w:p w14:paraId="2D554034">
      <w:pPr>
        <w:pStyle w:val="59"/>
        <w:ind w:firstLine="420"/>
        <w:rPr>
          <w:rFonts w:ascii="Times New Roman"/>
        </w:rPr>
      </w:pPr>
      <w:r>
        <w:rPr>
          <w:rFonts w:ascii="Times New Roman"/>
        </w:rPr>
        <w:t>GB 55006  钢结构通用规范</w:t>
      </w:r>
    </w:p>
    <w:p w14:paraId="20F3DD01">
      <w:pPr>
        <w:pStyle w:val="59"/>
        <w:ind w:firstLine="420"/>
        <w:rPr>
          <w:rFonts w:ascii="Times New Roman"/>
        </w:rPr>
      </w:pPr>
      <w:r>
        <w:rPr>
          <w:rFonts w:ascii="Times New Roman"/>
        </w:rPr>
        <w:t>GB 55008  混凝土结构通用规范</w:t>
      </w:r>
    </w:p>
    <w:p w14:paraId="45B4FB22">
      <w:pPr>
        <w:pStyle w:val="59"/>
        <w:ind w:firstLine="420"/>
        <w:rPr>
          <w:rFonts w:ascii="Times New Roman"/>
        </w:rPr>
      </w:pPr>
      <w:r>
        <w:rPr>
          <w:rFonts w:ascii="Times New Roman"/>
        </w:rPr>
        <w:t>GB 55026  城市给水工程项目规范</w:t>
      </w:r>
    </w:p>
    <w:p w14:paraId="25854B36">
      <w:pPr>
        <w:pStyle w:val="59"/>
        <w:ind w:firstLine="420"/>
        <w:rPr>
          <w:rFonts w:ascii="Times New Roman"/>
        </w:rPr>
      </w:pPr>
      <w:r>
        <w:rPr>
          <w:rFonts w:ascii="Times New Roman"/>
        </w:rPr>
        <w:t>GB 55027  城乡排水工程项目规范</w:t>
      </w:r>
    </w:p>
    <w:p w14:paraId="13B7DDEE">
      <w:pPr>
        <w:pStyle w:val="59"/>
        <w:ind w:firstLine="420"/>
        <w:rPr>
          <w:rFonts w:ascii="Times New Roman"/>
        </w:rPr>
      </w:pPr>
      <w:r>
        <w:rPr>
          <w:rFonts w:ascii="Times New Roman"/>
        </w:rPr>
        <w:t>CJ/T 51  城镇污水水质检验方法</w:t>
      </w:r>
    </w:p>
    <w:p w14:paraId="6261B13C">
      <w:pPr>
        <w:pStyle w:val="59"/>
        <w:ind w:firstLine="420"/>
        <w:rPr>
          <w:rFonts w:ascii="Times New Roman"/>
        </w:rPr>
      </w:pPr>
      <w:r>
        <w:rPr>
          <w:rFonts w:ascii="Times New Roman"/>
        </w:rPr>
        <w:t>CJJ 60  城镇污水处理厂运行、维护及安全技术规程</w:t>
      </w:r>
    </w:p>
    <w:p w14:paraId="1AA5B491">
      <w:pPr>
        <w:pStyle w:val="59"/>
        <w:ind w:firstLine="420"/>
        <w:rPr>
          <w:rFonts w:ascii="Times New Roman"/>
        </w:rPr>
      </w:pPr>
      <w:r>
        <w:rPr>
          <w:rFonts w:ascii="Times New Roman"/>
        </w:rPr>
        <w:t xml:space="preserve">HJ 2016  环境工程 </w:t>
      </w:r>
      <w:r>
        <w:rPr>
          <w:rFonts w:hint="eastAsia" w:ascii="Times New Roman"/>
        </w:rPr>
        <w:t xml:space="preserve"> </w:t>
      </w:r>
      <w:r>
        <w:rPr>
          <w:rFonts w:ascii="Times New Roman"/>
        </w:rPr>
        <w:t>名词术语</w:t>
      </w:r>
    </w:p>
    <w:p w14:paraId="4E628534">
      <w:pPr>
        <w:pStyle w:val="107"/>
        <w:spacing w:before="312" w:after="312"/>
        <w:rPr>
          <w:rFonts w:ascii="Times New Roman"/>
        </w:rPr>
      </w:pPr>
      <w:bookmarkStart w:id="98" w:name="_Toc90918368"/>
      <w:bookmarkStart w:id="99" w:name="_Toc128675548"/>
      <w:bookmarkStart w:id="100" w:name="_Toc126055482"/>
      <w:bookmarkStart w:id="101" w:name="_Toc128675751"/>
      <w:bookmarkStart w:id="102" w:name="_Toc133336317"/>
      <w:bookmarkStart w:id="103" w:name="_Toc112144688"/>
      <w:bookmarkStart w:id="104" w:name="_Toc114845565"/>
      <w:bookmarkStart w:id="105" w:name="_Toc118991560"/>
      <w:bookmarkStart w:id="106" w:name="_Toc90918465"/>
      <w:bookmarkStart w:id="107" w:name="_Toc112224472"/>
      <w:bookmarkStart w:id="108" w:name="_Toc173937686"/>
      <w:bookmarkStart w:id="109" w:name="_Toc134185984"/>
      <w:bookmarkStart w:id="110" w:name="_Toc146718660"/>
      <w:bookmarkStart w:id="111" w:name="_Toc133498524"/>
      <w:bookmarkStart w:id="112" w:name="_Toc135742088"/>
      <w:bookmarkStart w:id="113" w:name="_Toc135742116"/>
      <w:bookmarkStart w:id="114" w:name="_Toc135746976"/>
      <w:r>
        <w:rPr>
          <w:rFonts w:ascii="Times New Roman"/>
          <w:szCs w:val="21"/>
        </w:rPr>
        <w:t>术语和定义</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sdt>
      <w:sdtPr>
        <w:rPr>
          <w:rFonts w:ascii="Times New Roman"/>
        </w:rPr>
        <w:id w:val="-1909835108"/>
        <w:placeholder>
          <w:docPart w:val="0E34414DB8B64D8BB14D55BC3955DCA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349CEF23">
          <w:pPr>
            <w:pStyle w:val="59"/>
            <w:ind w:firstLine="420"/>
          </w:pPr>
          <w:bookmarkStart w:id="115" w:name="_Toc26986532"/>
          <w:bookmarkEnd w:id="115"/>
          <w:r>
            <w:rPr>
              <w:rFonts w:ascii="Times New Roman"/>
            </w:rPr>
            <w:t>HJ 2016界定的以及下列术语和定义适用于本文件。</w:t>
          </w:r>
        </w:p>
      </w:sdtContent>
    </w:sdt>
    <w:p w14:paraId="74F1AF04">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磁混凝沉淀</w:t>
      </w:r>
      <w:r>
        <w:rPr>
          <w:rFonts w:ascii="黑体" w:hAnsi="黑体" w:eastAsia="黑体"/>
        </w:rPr>
        <w:t xml:space="preserve"> </w:t>
      </w:r>
      <w:r>
        <w:rPr>
          <w:rFonts w:hint="eastAsia" w:ascii="黑体" w:hAnsi="黑体" w:eastAsia="黑体"/>
        </w:rPr>
        <w:t xml:space="preserve"> </w:t>
      </w:r>
      <w:r>
        <w:rPr>
          <w:rFonts w:ascii="黑体" w:hAnsi="黑体" w:eastAsia="黑体"/>
        </w:rPr>
        <w:t>magnetic coagulation precipitation</w:t>
      </w:r>
    </w:p>
    <w:p w14:paraId="07CC5C10">
      <w:pPr>
        <w:pStyle w:val="59"/>
        <w:ind w:firstLine="420"/>
      </w:pPr>
      <w:r>
        <w:rPr>
          <w:rFonts w:hint="eastAsia"/>
        </w:rPr>
        <w:t>在混凝的絮凝过程中投加磁粉，使混有磁粉的絮体比重增大并高速沉降从而提高混凝沉淀效果。</w:t>
      </w:r>
    </w:p>
    <w:p w14:paraId="4CC96D41">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解絮  deflocculation</w:t>
      </w:r>
    </w:p>
    <w:p w14:paraId="4F9645F8">
      <w:pPr>
        <w:pStyle w:val="59"/>
        <w:ind w:firstLine="420"/>
      </w:pPr>
      <w:bookmarkStart w:id="116" w:name="_Hlk173761993"/>
      <w:r>
        <w:rPr>
          <w:rFonts w:hint="eastAsia"/>
        </w:rPr>
        <w:t>破坏含磁粉的絮团，使之重新处于分散状态</w:t>
      </w:r>
      <w:bookmarkEnd w:id="116"/>
      <w:r>
        <w:rPr>
          <w:rFonts w:hint="eastAsia"/>
        </w:rPr>
        <w:t>。</w:t>
      </w:r>
    </w:p>
    <w:p w14:paraId="78AC3120">
      <w:pPr>
        <w:pStyle w:val="165"/>
      </w:pPr>
    </w:p>
    <w:p w14:paraId="00E59CA7">
      <w:pPr>
        <w:pStyle w:val="226"/>
        <w:numPr>
          <w:ilvl w:val="0"/>
          <w:numId w:val="0"/>
        </w:numPr>
        <w:ind w:left="420"/>
        <w:rPr>
          <w:rFonts w:hint="eastAsia" w:ascii="黑体" w:hAnsi="黑体" w:eastAsia="黑体"/>
        </w:rPr>
      </w:pPr>
      <w:r>
        <w:rPr>
          <w:rFonts w:hint="eastAsia" w:ascii="黑体" w:hAnsi="黑体" w:eastAsia="黑体"/>
        </w:rPr>
        <w:t>磁粉污泥  m</w:t>
      </w:r>
      <w:r>
        <w:rPr>
          <w:rFonts w:ascii="黑体" w:hAnsi="黑体" w:eastAsia="黑体"/>
        </w:rPr>
        <w:t>agnetic sludge</w:t>
      </w:r>
    </w:p>
    <w:p w14:paraId="03B7683F">
      <w:pPr>
        <w:pStyle w:val="59"/>
        <w:ind w:firstLine="420"/>
      </w:pPr>
      <w:r>
        <w:rPr>
          <w:rFonts w:hint="eastAsia"/>
        </w:rPr>
        <w:t>磁粉与混凝剂、助凝剂以及悬浮物、胶体等污染物经混凝沉淀后形成的混合物。</w:t>
      </w:r>
    </w:p>
    <w:p w14:paraId="645A7A1D">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磁分离  magnetic</w:t>
      </w:r>
      <w:r>
        <w:rPr>
          <w:rFonts w:ascii="黑体" w:hAnsi="黑体" w:eastAsia="黑体"/>
        </w:rPr>
        <w:t xml:space="preserve"> </w:t>
      </w:r>
      <w:r>
        <w:rPr>
          <w:rFonts w:hint="eastAsia" w:ascii="黑体" w:hAnsi="黑体" w:eastAsia="黑体"/>
        </w:rPr>
        <w:t>separation</w:t>
      </w:r>
    </w:p>
    <w:p w14:paraId="2FEDC7AA">
      <w:pPr>
        <w:pStyle w:val="59"/>
        <w:ind w:firstLine="420"/>
      </w:pPr>
      <w:r>
        <w:rPr>
          <w:rFonts w:hint="eastAsia"/>
        </w:rPr>
        <w:t>利用磁场</w:t>
      </w:r>
      <w:r>
        <w:t>将</w:t>
      </w:r>
      <w:r>
        <w:rPr>
          <w:rFonts w:hint="eastAsia"/>
        </w:rPr>
        <w:t>磁粉从磁粉污泥中分离以进行回收。</w:t>
      </w:r>
    </w:p>
    <w:p w14:paraId="60E87886">
      <w:pPr>
        <w:pStyle w:val="107"/>
        <w:spacing w:before="312" w:after="312"/>
        <w:rPr>
          <w:rFonts w:ascii="Times New Roman"/>
        </w:rPr>
      </w:pPr>
      <w:bookmarkStart w:id="117" w:name="_Toc112144689"/>
      <w:bookmarkStart w:id="118" w:name="_Toc134185985"/>
      <w:bookmarkStart w:id="119" w:name="_Toc135742089"/>
      <w:bookmarkStart w:id="120" w:name="_Toc126055483"/>
      <w:bookmarkStart w:id="121" w:name="_Toc112224473"/>
      <w:bookmarkStart w:id="122" w:name="_Toc118991561"/>
      <w:bookmarkStart w:id="123" w:name="_Toc128675549"/>
      <w:bookmarkStart w:id="124" w:name="_Toc133336318"/>
      <w:bookmarkStart w:id="125" w:name="_Toc114845566"/>
      <w:bookmarkStart w:id="126" w:name="_Toc128675752"/>
      <w:bookmarkStart w:id="127" w:name="_Toc133498525"/>
      <w:bookmarkStart w:id="128" w:name="_Toc146718661"/>
      <w:bookmarkStart w:id="129" w:name="_Toc135746977"/>
      <w:bookmarkStart w:id="130" w:name="_Toc135742117"/>
      <w:bookmarkStart w:id="131" w:name="_Toc173937687"/>
      <w:r>
        <w:rPr>
          <w:rFonts w:hint="eastAsia"/>
        </w:rPr>
        <w:t>系统单元及</w:t>
      </w:r>
      <w:r>
        <w:rPr>
          <w:rFonts w:ascii="Times New Roman"/>
        </w:rPr>
        <w:t>工艺流程</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18479B">
      <w:pPr>
        <w:pStyle w:val="108"/>
        <w:spacing w:before="156" w:after="156"/>
        <w:rPr>
          <w:rFonts w:ascii="Times New Roman"/>
        </w:rPr>
      </w:pPr>
      <w:r>
        <w:rPr>
          <w:rFonts w:ascii="Times New Roman"/>
        </w:rPr>
        <w:t>单元组成</w:t>
      </w:r>
    </w:p>
    <w:p w14:paraId="5660C99F">
      <w:pPr>
        <w:pStyle w:val="68"/>
        <w:spacing w:before="156" w:after="156"/>
        <w:rPr>
          <w:rFonts w:ascii="Times New Roman"/>
        </w:rPr>
      </w:pPr>
      <w:r>
        <w:rPr>
          <w:rFonts w:ascii="Times New Roman"/>
        </w:rPr>
        <w:t>混凝反应</w:t>
      </w:r>
    </w:p>
    <w:p w14:paraId="0F2B3064">
      <w:pPr>
        <w:pStyle w:val="167"/>
        <w:rPr>
          <w:rFonts w:ascii="Times New Roman"/>
        </w:rPr>
      </w:pPr>
      <w:r>
        <w:rPr>
          <w:rFonts w:ascii="Times New Roman"/>
        </w:rPr>
        <w:t>混凝反应单元由</w:t>
      </w:r>
      <w:bookmarkStart w:id="132" w:name="_Hlk174103975"/>
      <w:r>
        <w:rPr>
          <w:rFonts w:ascii="Times New Roman"/>
        </w:rPr>
        <w:t>混凝反应池、磁粉混合池和絮凝反应池</w:t>
      </w:r>
      <w:bookmarkEnd w:id="132"/>
      <w:r>
        <w:rPr>
          <w:rFonts w:ascii="Times New Roman"/>
        </w:rPr>
        <w:t>组成，结构示意图见图A.1。</w:t>
      </w:r>
    </w:p>
    <w:p w14:paraId="6475561A">
      <w:pPr>
        <w:pStyle w:val="167"/>
        <w:rPr>
          <w:rFonts w:ascii="Times New Roman"/>
        </w:rPr>
      </w:pPr>
      <w:r>
        <w:rPr>
          <w:rFonts w:ascii="Times New Roman"/>
        </w:rPr>
        <w:t>主要设备包括</w:t>
      </w:r>
      <w:bookmarkStart w:id="133" w:name="_Hlk174104031"/>
      <w:r>
        <w:rPr>
          <w:rFonts w:ascii="Times New Roman"/>
        </w:rPr>
        <w:t>机械搅拌器、减速机和螺纹泵等</w:t>
      </w:r>
      <w:bookmarkEnd w:id="133"/>
      <w:r>
        <w:rPr>
          <w:rFonts w:ascii="Times New Roman"/>
        </w:rPr>
        <w:t>。</w:t>
      </w:r>
    </w:p>
    <w:p w14:paraId="3775976F">
      <w:pPr>
        <w:pStyle w:val="68"/>
        <w:spacing w:before="156" w:after="156"/>
        <w:rPr>
          <w:rFonts w:ascii="Times New Roman"/>
        </w:rPr>
      </w:pPr>
      <w:r>
        <w:rPr>
          <w:rFonts w:ascii="Times New Roman"/>
        </w:rPr>
        <w:t>沉淀</w:t>
      </w:r>
    </w:p>
    <w:p w14:paraId="14C09B9D">
      <w:pPr>
        <w:pStyle w:val="167"/>
        <w:rPr>
          <w:rFonts w:ascii="Times New Roman"/>
        </w:rPr>
      </w:pPr>
      <w:r>
        <w:rPr>
          <w:rFonts w:ascii="Times New Roman"/>
        </w:rPr>
        <w:t>沉淀单元由</w:t>
      </w:r>
      <w:bookmarkStart w:id="134" w:name="_Hlk174104089"/>
      <w:r>
        <w:rPr>
          <w:rFonts w:ascii="Times New Roman"/>
        </w:rPr>
        <w:t>配水区、缓冲区、沉淀区、清水区和污泥浓缩区</w:t>
      </w:r>
      <w:bookmarkEnd w:id="134"/>
      <w:r>
        <w:rPr>
          <w:rFonts w:ascii="Times New Roman"/>
        </w:rPr>
        <w:t>等组成。</w:t>
      </w:r>
    </w:p>
    <w:p w14:paraId="740E1BD5">
      <w:pPr>
        <w:pStyle w:val="167"/>
        <w:rPr>
          <w:rFonts w:ascii="Times New Roman"/>
        </w:rPr>
      </w:pPr>
      <w:r>
        <w:rPr>
          <w:rFonts w:ascii="Times New Roman"/>
        </w:rPr>
        <w:t>主要</w:t>
      </w:r>
      <w:bookmarkStart w:id="135" w:name="_Hlk174104116"/>
      <w:r>
        <w:rPr>
          <w:rFonts w:ascii="Times New Roman"/>
        </w:rPr>
        <w:t>设备包括斜管（板）、刮泥机和出水堰槽</w:t>
      </w:r>
      <w:bookmarkEnd w:id="135"/>
      <w:r>
        <w:rPr>
          <w:rFonts w:ascii="Times New Roman"/>
        </w:rPr>
        <w:t>，结构示意图见图A.2。</w:t>
      </w:r>
    </w:p>
    <w:p w14:paraId="784C04DF">
      <w:pPr>
        <w:pStyle w:val="68"/>
        <w:spacing w:before="156" w:after="156"/>
        <w:rPr>
          <w:rFonts w:ascii="Times New Roman"/>
        </w:rPr>
      </w:pPr>
      <w:r>
        <w:rPr>
          <w:rFonts w:ascii="Times New Roman"/>
        </w:rPr>
        <w:t>磁粉回收</w:t>
      </w:r>
    </w:p>
    <w:p w14:paraId="2D889287">
      <w:pPr>
        <w:pStyle w:val="59"/>
        <w:ind w:firstLine="420"/>
        <w:rPr>
          <w:rFonts w:ascii="Times New Roman"/>
        </w:rPr>
      </w:pPr>
      <w:r>
        <w:rPr>
          <w:rFonts w:ascii="Times New Roman"/>
        </w:rPr>
        <w:t>磁粉回收单元主要包括</w:t>
      </w:r>
      <w:bookmarkStart w:id="136" w:name="_Hlk174104393"/>
      <w:r>
        <w:rPr>
          <w:rFonts w:ascii="Times New Roman"/>
        </w:rPr>
        <w:t>磁粉回收泵、解絮机和磁分离机</w:t>
      </w:r>
      <w:bookmarkEnd w:id="136"/>
      <w:r>
        <w:rPr>
          <w:rFonts w:ascii="Times New Roman"/>
        </w:rPr>
        <w:t>。</w:t>
      </w:r>
    </w:p>
    <w:p w14:paraId="007C19DB">
      <w:pPr>
        <w:pStyle w:val="68"/>
        <w:spacing w:before="156" w:after="156"/>
        <w:rPr>
          <w:rFonts w:ascii="Times New Roman"/>
        </w:rPr>
      </w:pPr>
      <w:r>
        <w:rPr>
          <w:rFonts w:ascii="Times New Roman"/>
        </w:rPr>
        <w:t>污泥回流</w:t>
      </w:r>
    </w:p>
    <w:p w14:paraId="45C6F0FA">
      <w:pPr>
        <w:pStyle w:val="59"/>
        <w:ind w:firstLine="420"/>
        <w:rPr>
          <w:rFonts w:ascii="Times New Roman"/>
        </w:rPr>
      </w:pPr>
      <w:r>
        <w:rPr>
          <w:rFonts w:ascii="Times New Roman"/>
        </w:rPr>
        <w:t>污泥回流单元主要包括</w:t>
      </w:r>
      <w:bookmarkStart w:id="137" w:name="_Hlk174104734"/>
      <w:r>
        <w:rPr>
          <w:rFonts w:ascii="Times New Roman"/>
        </w:rPr>
        <w:t>污泥回流泵、剩余污泥泵和污泥螺杆泵</w:t>
      </w:r>
      <w:bookmarkEnd w:id="137"/>
      <w:r>
        <w:rPr>
          <w:rFonts w:ascii="Times New Roman"/>
        </w:rPr>
        <w:t>。</w:t>
      </w:r>
    </w:p>
    <w:p w14:paraId="7E2E417E">
      <w:pPr>
        <w:pStyle w:val="68"/>
        <w:spacing w:before="156" w:after="156"/>
        <w:rPr>
          <w:rFonts w:ascii="Times New Roman"/>
        </w:rPr>
      </w:pPr>
      <w:r>
        <w:rPr>
          <w:rFonts w:ascii="Times New Roman"/>
        </w:rPr>
        <w:t>药剂投加</w:t>
      </w:r>
    </w:p>
    <w:p w14:paraId="165AAD71">
      <w:pPr>
        <w:pStyle w:val="59"/>
        <w:ind w:firstLine="420"/>
        <w:rPr>
          <w:rFonts w:ascii="Times New Roman"/>
        </w:rPr>
      </w:pPr>
      <w:r>
        <w:rPr>
          <w:rFonts w:ascii="Times New Roman"/>
        </w:rPr>
        <w:t>药剂投加单元主要包括</w:t>
      </w:r>
      <w:bookmarkStart w:id="138" w:name="_Hlk174104785"/>
      <w:r>
        <w:rPr>
          <w:rFonts w:ascii="Times New Roman"/>
        </w:rPr>
        <w:t>混凝药剂制备系统、混凝剂投加装置、絮凝剂投加装置和磁粉投加装置</w:t>
      </w:r>
      <w:bookmarkEnd w:id="138"/>
      <w:r>
        <w:rPr>
          <w:rFonts w:ascii="Times New Roman"/>
        </w:rPr>
        <w:t>，加药系统示意图见图A.3。</w:t>
      </w:r>
    </w:p>
    <w:p w14:paraId="4F905737">
      <w:pPr>
        <w:pStyle w:val="68"/>
        <w:spacing w:before="156" w:after="156"/>
        <w:rPr>
          <w:rFonts w:ascii="Times New Roman"/>
        </w:rPr>
      </w:pPr>
      <w:r>
        <w:rPr>
          <w:rFonts w:ascii="Times New Roman"/>
        </w:rPr>
        <w:t>控制</w:t>
      </w:r>
    </w:p>
    <w:p w14:paraId="51D20F0D">
      <w:pPr>
        <w:pStyle w:val="167"/>
        <w:rPr>
          <w:rFonts w:ascii="Times New Roman"/>
        </w:rPr>
      </w:pPr>
      <w:r>
        <w:rPr>
          <w:rFonts w:ascii="Times New Roman"/>
        </w:rPr>
        <w:t>控制单元由检测仪表和控制系统组成。</w:t>
      </w:r>
      <w:bookmarkStart w:id="139" w:name="_Hlk174105186"/>
      <w:r>
        <w:rPr>
          <w:rFonts w:ascii="Times New Roman"/>
        </w:rPr>
        <w:t>检测仪表</w:t>
      </w:r>
      <w:r>
        <w:rPr>
          <w:rFonts w:hint="eastAsia" w:ascii="Times New Roman"/>
        </w:rPr>
        <w:t>主要</w:t>
      </w:r>
      <w:r>
        <w:rPr>
          <w:rFonts w:ascii="Times New Roman"/>
        </w:rPr>
        <w:t>包括悬浮固体（SS）测定仪和总磷（</w:t>
      </w:r>
      <w:r>
        <w:rPr>
          <w:rFonts w:hint="eastAsia" w:ascii="Times New Roman"/>
        </w:rPr>
        <w:t>TP</w:t>
      </w:r>
      <w:r>
        <w:rPr>
          <w:rFonts w:ascii="Times New Roman"/>
        </w:rPr>
        <w:t>）测定仪</w:t>
      </w:r>
      <w:r>
        <w:rPr>
          <w:rFonts w:hint="eastAsia" w:ascii="Times New Roman"/>
        </w:rPr>
        <w:t>。</w:t>
      </w:r>
      <w:bookmarkStart w:id="140" w:name="_Hlk174104407"/>
      <w:r>
        <w:rPr>
          <w:rFonts w:hint="eastAsia" w:ascii="Times New Roman"/>
        </w:rPr>
        <w:t>可</w:t>
      </w:r>
      <w:r>
        <w:rPr>
          <w:rFonts w:ascii="Times New Roman"/>
        </w:rPr>
        <w:t>根据项目具体要求，增配pH计</w:t>
      </w:r>
      <w:r>
        <w:rPr>
          <w:rFonts w:hint="eastAsia" w:ascii="Times New Roman"/>
        </w:rPr>
        <w:t>和</w:t>
      </w:r>
      <w:r>
        <w:rPr>
          <w:rFonts w:ascii="Times New Roman"/>
        </w:rPr>
        <w:t>温度计</w:t>
      </w:r>
      <w:bookmarkEnd w:id="139"/>
      <w:bookmarkEnd w:id="140"/>
      <w:r>
        <w:rPr>
          <w:rFonts w:ascii="Times New Roman"/>
        </w:rPr>
        <w:t>。</w:t>
      </w:r>
    </w:p>
    <w:p w14:paraId="66535EF1">
      <w:pPr>
        <w:pStyle w:val="167"/>
        <w:rPr>
          <w:rFonts w:ascii="Times New Roman"/>
        </w:rPr>
      </w:pPr>
      <w:r>
        <w:rPr>
          <w:rFonts w:ascii="Times New Roman"/>
        </w:rPr>
        <w:t>控制</w:t>
      </w:r>
      <w:bookmarkStart w:id="141" w:name="_Hlk174105215"/>
      <w:r>
        <w:rPr>
          <w:rFonts w:ascii="Times New Roman"/>
        </w:rPr>
        <w:t>单元包括计量单元和电气自控单元</w:t>
      </w:r>
      <w:bookmarkEnd w:id="141"/>
      <w:r>
        <w:rPr>
          <w:rFonts w:ascii="Times New Roman"/>
        </w:rPr>
        <w:t>。</w:t>
      </w:r>
    </w:p>
    <w:p w14:paraId="4B40BA6D">
      <w:pPr>
        <w:pStyle w:val="167"/>
        <w:rPr>
          <w:rFonts w:ascii="Times New Roman"/>
        </w:rPr>
      </w:pPr>
      <w:bookmarkStart w:id="142" w:name="_Hlk174105236"/>
      <w:r>
        <w:rPr>
          <w:rFonts w:ascii="Times New Roman"/>
        </w:rPr>
        <w:t>计量单元应配置进水流量计、污泥回流流量计或剩余污泥流量计和沉淀池污泥液位计。</w:t>
      </w:r>
    </w:p>
    <w:bookmarkEnd w:id="142"/>
    <w:p w14:paraId="0D5C173C">
      <w:pPr>
        <w:pStyle w:val="167"/>
        <w:rPr>
          <w:rFonts w:ascii="Times New Roman"/>
        </w:rPr>
      </w:pPr>
      <w:bookmarkStart w:id="143" w:name="_Hlk174105254"/>
      <w:r>
        <w:rPr>
          <w:rFonts w:ascii="Times New Roman"/>
        </w:rPr>
        <w:t>电气自控单元主要包括电气控制柜和可编程逻辑控制器等设备</w:t>
      </w:r>
      <w:bookmarkEnd w:id="143"/>
      <w:r>
        <w:rPr>
          <w:rFonts w:ascii="Times New Roman"/>
        </w:rPr>
        <w:t>。</w:t>
      </w:r>
    </w:p>
    <w:p w14:paraId="6BF41016">
      <w:pPr>
        <w:pStyle w:val="167"/>
        <w:rPr>
          <w:rFonts w:ascii="Times New Roman"/>
        </w:rPr>
      </w:pPr>
      <w:r>
        <w:rPr>
          <w:rFonts w:ascii="Times New Roman"/>
        </w:rPr>
        <w:t>控制单元可自动控制和手动控制。</w:t>
      </w:r>
    </w:p>
    <w:p w14:paraId="1666218E">
      <w:pPr>
        <w:pStyle w:val="167"/>
        <w:rPr>
          <w:rFonts w:ascii="Times New Roman"/>
        </w:rPr>
      </w:pPr>
      <w:r>
        <w:rPr>
          <w:rFonts w:ascii="Times New Roman"/>
        </w:rPr>
        <w:t>控制单元可</w:t>
      </w:r>
      <w:bookmarkStart w:id="144" w:name="_Hlk174105325"/>
      <w:r>
        <w:rPr>
          <w:rFonts w:ascii="Times New Roman"/>
        </w:rPr>
        <w:t>通过以太网与全厂控制系统通讯</w:t>
      </w:r>
      <w:bookmarkEnd w:id="144"/>
      <w:r>
        <w:rPr>
          <w:rFonts w:ascii="Times New Roman"/>
        </w:rPr>
        <w:t>。</w:t>
      </w:r>
    </w:p>
    <w:p w14:paraId="7F93F61D">
      <w:pPr>
        <w:pStyle w:val="108"/>
        <w:spacing w:before="156" w:after="156"/>
        <w:rPr>
          <w:rFonts w:ascii="Times New Roman"/>
        </w:rPr>
      </w:pPr>
      <w:bookmarkStart w:id="145" w:name="_Toc73459939"/>
      <w:bookmarkStart w:id="146" w:name="_Toc85207701"/>
      <w:bookmarkStart w:id="147" w:name="_Toc90918471"/>
      <w:bookmarkStart w:id="148" w:name="_Toc90918374"/>
      <w:bookmarkStart w:id="149" w:name="_Toc133498527"/>
      <w:bookmarkStart w:id="150" w:name="_Toc133336320"/>
      <w:bookmarkStart w:id="151" w:name="_Toc134185987"/>
      <w:bookmarkStart w:id="152" w:name="_Toc128675754"/>
      <w:bookmarkStart w:id="153" w:name="_Toc114845568"/>
      <w:bookmarkStart w:id="154" w:name="_Toc118991563"/>
      <w:bookmarkStart w:id="155" w:name="_Toc112224475"/>
      <w:bookmarkStart w:id="156" w:name="_Toc126055485"/>
      <w:bookmarkStart w:id="157" w:name="_Toc112144691"/>
      <w:bookmarkStart w:id="158" w:name="_Toc128675551"/>
      <w:bookmarkStart w:id="159" w:name="_Toc135742091"/>
      <w:bookmarkStart w:id="160" w:name="_Toc90918370"/>
      <w:bookmarkStart w:id="161" w:name="_Toc90918467"/>
      <w:bookmarkStart w:id="162" w:name="_Toc85207697"/>
      <w:r>
        <w:rPr>
          <w:rFonts w:ascii="Times New Roman"/>
        </w:rPr>
        <w:t>工艺流程</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0582E18">
      <w:pPr>
        <w:pStyle w:val="59"/>
        <w:ind w:firstLine="420"/>
        <w:rPr>
          <w:rFonts w:ascii="Times New Roman"/>
        </w:rPr>
      </w:pPr>
      <w:r>
        <w:rPr>
          <w:rFonts w:ascii="Times New Roman"/>
        </w:rPr>
        <w:t>磁混凝工艺流程示意图见图1。</w:t>
      </w:r>
    </w:p>
    <w:p w14:paraId="4120D255">
      <w:pPr>
        <w:pStyle w:val="59"/>
        <w:ind w:firstLine="420"/>
        <w:rPr>
          <w:rFonts w:ascii="Times New Roman"/>
        </w:rPr>
      </w:pPr>
    </w:p>
    <w:p w14:paraId="7D1DD18D">
      <w:pPr>
        <w:pStyle w:val="59"/>
        <w:ind w:firstLine="0" w:firstLineChars="0"/>
        <w:jc w:val="center"/>
        <w:rPr>
          <w:rFonts w:ascii="Times New Roman"/>
        </w:rPr>
      </w:pPr>
      <w:bookmarkStart w:id="163" w:name="_Hlk173848644"/>
      <w:r>
        <w:rPr>
          <w:rFonts w:ascii="Times New Roman"/>
        </w:rPr>
        <w:object>
          <v:shape id="_x0000_i1025" o:spt="75" type="#_x0000_t75" style="height:369pt;width:456pt;" o:ole="t" filled="f" o:preferrelative="t" stroked="f" coordsize="21600,21600">
            <v:path/>
            <v:fill on="f" focussize="0,0"/>
            <v:stroke on="f" joinstyle="miter"/>
            <v:imagedata r:id="rId25" o:title=""/>
            <o:lock v:ext="edit" aspectratio="t"/>
            <w10:wrap type="none"/>
            <w10:anchorlock/>
          </v:shape>
          <o:OLEObject Type="Embed" ProgID="Visio.Drawing.15" ShapeID="_x0000_i1025" DrawAspect="Content" ObjectID="_1468075725" r:id="rId24">
            <o:LockedField>false</o:LockedField>
          </o:OLEObject>
        </w:object>
      </w:r>
      <w:bookmarkEnd w:id="163"/>
    </w:p>
    <w:p w14:paraId="31DAA45C">
      <w:pPr>
        <w:pStyle w:val="117"/>
        <w:spacing w:before="156" w:after="156"/>
        <w:rPr>
          <w:rFonts w:ascii="Times New Roman"/>
        </w:rPr>
      </w:pPr>
      <w:r>
        <w:rPr>
          <w:rFonts w:ascii="Times New Roman"/>
        </w:rPr>
        <w:t>磁混凝工艺流程示意图</w:t>
      </w:r>
    </w:p>
    <w:bookmarkEnd w:id="160"/>
    <w:bookmarkEnd w:id="161"/>
    <w:bookmarkEnd w:id="162"/>
    <w:p w14:paraId="4FDD37FA">
      <w:pPr>
        <w:pStyle w:val="107"/>
        <w:spacing w:before="312" w:after="312"/>
        <w:rPr>
          <w:rFonts w:ascii="Times New Roman"/>
        </w:rPr>
      </w:pPr>
      <w:bookmarkStart w:id="164" w:name="_Toc112144692"/>
      <w:bookmarkStart w:id="165" w:name="_Toc112224476"/>
      <w:bookmarkStart w:id="166" w:name="_Toc114845569"/>
      <w:bookmarkStart w:id="167" w:name="_Toc118991564"/>
      <w:bookmarkStart w:id="168" w:name="_Toc126055486"/>
      <w:bookmarkStart w:id="169" w:name="_Toc128675552"/>
      <w:bookmarkStart w:id="170" w:name="_Toc128675755"/>
      <w:bookmarkStart w:id="171" w:name="_Toc133336321"/>
      <w:bookmarkStart w:id="172" w:name="_Toc133498528"/>
      <w:bookmarkStart w:id="173" w:name="_Toc134185988"/>
      <w:bookmarkStart w:id="174" w:name="_Toc135742092"/>
      <w:bookmarkStart w:id="175" w:name="_Toc135746978"/>
      <w:bookmarkStart w:id="176" w:name="_Toc146718662"/>
      <w:bookmarkStart w:id="177" w:name="_Toc135742118"/>
      <w:bookmarkStart w:id="178" w:name="_Toc173937688"/>
      <w:r>
        <w:rPr>
          <w:rFonts w:ascii="Times New Roman"/>
        </w:rPr>
        <w:t>技术要求</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8C10B61">
      <w:pPr>
        <w:pStyle w:val="108"/>
        <w:spacing w:before="156" w:after="156"/>
        <w:rPr>
          <w:rFonts w:ascii="Times New Roman"/>
        </w:rPr>
      </w:pPr>
      <w:r>
        <w:rPr>
          <w:rFonts w:ascii="Times New Roman"/>
        </w:rPr>
        <w:t>通则</w:t>
      </w:r>
    </w:p>
    <w:p w14:paraId="4CE39232">
      <w:pPr>
        <w:pStyle w:val="168"/>
        <w:rPr>
          <w:rFonts w:ascii="Times New Roman"/>
        </w:rPr>
      </w:pPr>
      <w:r>
        <w:rPr>
          <w:rFonts w:ascii="Times New Roman"/>
        </w:rPr>
        <w:t>磁混凝</w:t>
      </w:r>
      <w:r>
        <w:rPr>
          <w:rFonts w:hint="eastAsia" w:ascii="Times New Roman"/>
        </w:rPr>
        <w:t>工艺</w:t>
      </w:r>
      <w:r>
        <w:rPr>
          <w:rFonts w:ascii="Times New Roman"/>
        </w:rPr>
        <w:t>主要用于去除SS和TP。</w:t>
      </w:r>
    </w:p>
    <w:p w14:paraId="53C16046">
      <w:pPr>
        <w:pStyle w:val="168"/>
        <w:rPr>
          <w:rFonts w:ascii="Times New Roman"/>
        </w:rPr>
      </w:pPr>
      <w:r>
        <w:rPr>
          <w:rFonts w:ascii="Times New Roman"/>
        </w:rPr>
        <w:t>磁混凝工艺参数的选值根据处理规模、进水水质、污染物性质和处理后水质要求确定，特殊值需进行试验验证后确定。</w:t>
      </w:r>
    </w:p>
    <w:p w14:paraId="10811646">
      <w:pPr>
        <w:pStyle w:val="168"/>
        <w:rPr>
          <w:rFonts w:ascii="Times New Roman"/>
        </w:rPr>
      </w:pPr>
      <w:r>
        <w:rPr>
          <w:rFonts w:ascii="Times New Roman"/>
        </w:rPr>
        <w:t>进水水质应根据实际监测数据或参考同类项目的设计运行参数确定，进水SS浓度宜小于300 mg/L，pH为6~9。</w:t>
      </w:r>
    </w:p>
    <w:p w14:paraId="71258BA9">
      <w:pPr>
        <w:pStyle w:val="168"/>
        <w:rPr>
          <w:rFonts w:ascii="Times New Roman"/>
        </w:rPr>
      </w:pPr>
      <w:r>
        <w:rPr>
          <w:rFonts w:ascii="Times New Roman"/>
        </w:rPr>
        <w:t>出水水质应根据水处理设施出水标准要求确定。</w:t>
      </w:r>
    </w:p>
    <w:p w14:paraId="7C18B1E2">
      <w:pPr>
        <w:pStyle w:val="168"/>
        <w:rPr>
          <w:rFonts w:ascii="Times New Roman"/>
        </w:rPr>
      </w:pPr>
      <w:r>
        <w:rPr>
          <w:rFonts w:ascii="Times New Roman"/>
        </w:rPr>
        <w:t>进、出水节点应根据项目需求设置在线检测仪表。</w:t>
      </w:r>
    </w:p>
    <w:p w14:paraId="14B80A69">
      <w:pPr>
        <w:pStyle w:val="108"/>
        <w:spacing w:before="156" w:after="156"/>
        <w:rPr>
          <w:rFonts w:ascii="Times New Roman"/>
        </w:rPr>
      </w:pPr>
      <w:bookmarkStart w:id="179" w:name="_Toc73459940"/>
      <w:bookmarkStart w:id="180" w:name="_Toc85207702"/>
      <w:bookmarkStart w:id="181" w:name="_Toc90918375"/>
      <w:bookmarkStart w:id="182" w:name="_Toc90918472"/>
      <w:r>
        <w:rPr>
          <w:rFonts w:ascii="Times New Roman"/>
        </w:rPr>
        <w:t>混凝反应单元</w:t>
      </w:r>
      <w:bookmarkEnd w:id="179"/>
      <w:bookmarkEnd w:id="180"/>
      <w:bookmarkEnd w:id="181"/>
      <w:bookmarkEnd w:id="182"/>
    </w:p>
    <w:p w14:paraId="342CA7BC">
      <w:pPr>
        <w:pStyle w:val="68"/>
        <w:spacing w:before="156" w:after="156"/>
        <w:rPr>
          <w:rFonts w:ascii="Times New Roman"/>
        </w:rPr>
      </w:pPr>
      <w:bookmarkStart w:id="183" w:name="_Toc90918376"/>
      <w:r>
        <w:rPr>
          <w:rFonts w:ascii="Times New Roman"/>
        </w:rPr>
        <w:t>一般原则</w:t>
      </w:r>
      <w:bookmarkEnd w:id="183"/>
    </w:p>
    <w:p w14:paraId="1654A059">
      <w:pPr>
        <w:pStyle w:val="167"/>
        <w:rPr>
          <w:rFonts w:ascii="Times New Roman"/>
        </w:rPr>
      </w:pPr>
      <w:r>
        <w:rPr>
          <w:rFonts w:ascii="Times New Roman"/>
        </w:rPr>
        <w:t>根据工艺需求选择池体数量，</w:t>
      </w:r>
      <w:bookmarkStart w:id="184" w:name="_Hlk174106396"/>
      <w:r>
        <w:rPr>
          <w:rFonts w:ascii="Times New Roman"/>
        </w:rPr>
        <w:t>池体应不少于2组，每组池体数量不少于3个，</w:t>
      </w:r>
      <w:bookmarkEnd w:id="184"/>
      <w:r>
        <w:rPr>
          <w:rFonts w:ascii="Times New Roman"/>
        </w:rPr>
        <w:t>结构示意图见附录A.1。</w:t>
      </w:r>
    </w:p>
    <w:p w14:paraId="1AE46AE8">
      <w:pPr>
        <w:pStyle w:val="167"/>
        <w:rPr>
          <w:rFonts w:ascii="Times New Roman"/>
        </w:rPr>
      </w:pPr>
      <w:r>
        <w:rPr>
          <w:rFonts w:ascii="Times New Roman"/>
        </w:rPr>
        <w:t>检测仪表应与加药泵联动。</w:t>
      </w:r>
    </w:p>
    <w:p w14:paraId="6312A712">
      <w:pPr>
        <w:pStyle w:val="167"/>
        <w:rPr>
          <w:rFonts w:ascii="Times New Roman" w:eastAsia="黑体"/>
        </w:rPr>
      </w:pPr>
      <w:r>
        <w:rPr>
          <w:rFonts w:ascii="Times New Roman"/>
        </w:rPr>
        <w:t>总水头损失应小于0.7 m。</w:t>
      </w:r>
    </w:p>
    <w:p w14:paraId="7FD32705">
      <w:pPr>
        <w:pStyle w:val="68"/>
        <w:spacing w:before="156" w:after="156"/>
        <w:rPr>
          <w:rFonts w:ascii="Times New Roman"/>
        </w:rPr>
      </w:pPr>
      <w:bookmarkStart w:id="185" w:name="_Toc90918377"/>
      <w:bookmarkStart w:id="186" w:name="_Toc73459942"/>
      <w:r>
        <w:rPr>
          <w:rFonts w:ascii="Times New Roman"/>
        </w:rPr>
        <w:t>混凝反应设计</w:t>
      </w:r>
      <w:bookmarkEnd w:id="185"/>
      <w:bookmarkEnd w:id="186"/>
    </w:p>
    <w:p w14:paraId="5B635BD4">
      <w:pPr>
        <w:pStyle w:val="167"/>
        <w:rPr>
          <w:rFonts w:ascii="Times New Roman" w:eastAsia="黑体"/>
        </w:rPr>
      </w:pPr>
      <w:r>
        <w:rPr>
          <w:rFonts w:ascii="Times New Roman"/>
        </w:rPr>
        <w:t>单池水力停留时间为1.5 min~3 min。</w:t>
      </w:r>
    </w:p>
    <w:p w14:paraId="631FDF6E">
      <w:pPr>
        <w:pStyle w:val="167"/>
        <w:rPr>
          <w:rFonts w:ascii="Times New Roman"/>
        </w:rPr>
      </w:pPr>
      <w:r>
        <w:rPr>
          <w:rFonts w:ascii="Times New Roman"/>
        </w:rPr>
        <w:t>应采用机械搅拌，搅拌设备可选用浆板式。</w:t>
      </w:r>
    </w:p>
    <w:p w14:paraId="68DA4493">
      <w:pPr>
        <w:pStyle w:val="167"/>
        <w:rPr>
          <w:rFonts w:ascii="Times New Roman"/>
        </w:rPr>
      </w:pPr>
      <w:r>
        <w:rPr>
          <w:rFonts w:ascii="Times New Roman"/>
        </w:rPr>
        <w:t>搅拌速度梯度值为300 s</w:t>
      </w:r>
      <w:r>
        <w:rPr>
          <w:rFonts w:ascii="Times New Roman"/>
          <w:vertAlign w:val="superscript"/>
        </w:rPr>
        <w:t>-1</w:t>
      </w:r>
      <w:r>
        <w:rPr>
          <w:rFonts w:ascii="Times New Roman"/>
        </w:rPr>
        <w:t>~1000 s</w:t>
      </w:r>
      <w:r>
        <w:rPr>
          <w:rFonts w:ascii="Times New Roman"/>
          <w:vertAlign w:val="superscript"/>
        </w:rPr>
        <w:t>-1</w:t>
      </w:r>
      <w:r>
        <w:rPr>
          <w:rFonts w:ascii="Times New Roman"/>
        </w:rPr>
        <w:t>。</w:t>
      </w:r>
    </w:p>
    <w:p w14:paraId="19F7103D">
      <w:pPr>
        <w:pStyle w:val="68"/>
        <w:spacing w:before="156" w:after="156"/>
        <w:rPr>
          <w:rFonts w:ascii="Times New Roman"/>
        </w:rPr>
      </w:pPr>
      <w:bookmarkStart w:id="187" w:name="_Toc73459943"/>
      <w:bookmarkStart w:id="188" w:name="_Toc90918378"/>
      <w:r>
        <w:rPr>
          <w:rFonts w:ascii="Times New Roman"/>
        </w:rPr>
        <w:t>磁粉混合设计</w:t>
      </w:r>
      <w:bookmarkEnd w:id="187"/>
      <w:bookmarkEnd w:id="188"/>
    </w:p>
    <w:p w14:paraId="110B3A9F">
      <w:pPr>
        <w:pStyle w:val="167"/>
        <w:rPr>
          <w:rFonts w:ascii="Times New Roman"/>
        </w:rPr>
      </w:pPr>
      <w:r>
        <w:rPr>
          <w:rFonts w:ascii="Times New Roman"/>
        </w:rPr>
        <w:t>单池水力停留时间为2 min~5 min。</w:t>
      </w:r>
    </w:p>
    <w:p w14:paraId="4B2859AB">
      <w:pPr>
        <w:pStyle w:val="167"/>
        <w:rPr>
          <w:rFonts w:ascii="Times New Roman"/>
        </w:rPr>
      </w:pPr>
      <w:r>
        <w:rPr>
          <w:rFonts w:ascii="Times New Roman"/>
        </w:rPr>
        <w:t>应采用机械搅拌，搅拌设备可选用浆板式。</w:t>
      </w:r>
    </w:p>
    <w:p w14:paraId="50E5E7B4">
      <w:pPr>
        <w:pStyle w:val="167"/>
        <w:rPr>
          <w:rFonts w:ascii="Times New Roman"/>
        </w:rPr>
      </w:pPr>
      <w:r>
        <w:rPr>
          <w:rFonts w:ascii="Times New Roman"/>
        </w:rPr>
        <w:t>搅拌速度梯度值为100 s</w:t>
      </w:r>
      <w:r>
        <w:rPr>
          <w:rFonts w:ascii="Times New Roman"/>
          <w:vertAlign w:val="superscript"/>
        </w:rPr>
        <w:t>-1</w:t>
      </w:r>
      <w:r>
        <w:rPr>
          <w:rFonts w:ascii="Times New Roman"/>
        </w:rPr>
        <w:t>~500 s</w:t>
      </w:r>
      <w:r>
        <w:rPr>
          <w:rFonts w:ascii="Times New Roman"/>
          <w:vertAlign w:val="superscript"/>
        </w:rPr>
        <w:t>-1</w:t>
      </w:r>
      <w:r>
        <w:rPr>
          <w:rFonts w:ascii="Times New Roman"/>
        </w:rPr>
        <w:t>。</w:t>
      </w:r>
    </w:p>
    <w:p w14:paraId="5D5377FF">
      <w:pPr>
        <w:pStyle w:val="68"/>
        <w:spacing w:before="156" w:after="156"/>
        <w:rPr>
          <w:rFonts w:ascii="Times New Roman"/>
        </w:rPr>
      </w:pPr>
      <w:bookmarkStart w:id="189" w:name="_Toc73459944"/>
      <w:bookmarkStart w:id="190" w:name="_Toc90918379"/>
      <w:r>
        <w:rPr>
          <w:rFonts w:ascii="Times New Roman"/>
        </w:rPr>
        <w:t>絮凝反应设计</w:t>
      </w:r>
      <w:bookmarkEnd w:id="189"/>
      <w:bookmarkEnd w:id="190"/>
    </w:p>
    <w:p w14:paraId="3BECC2C1">
      <w:pPr>
        <w:pStyle w:val="167"/>
        <w:rPr>
          <w:rFonts w:ascii="Times New Roman"/>
        </w:rPr>
      </w:pPr>
      <w:r>
        <w:rPr>
          <w:rFonts w:ascii="Times New Roman"/>
        </w:rPr>
        <w:t>单池水力停留时间为2 min~5 min。</w:t>
      </w:r>
    </w:p>
    <w:p w14:paraId="571A4F3D">
      <w:pPr>
        <w:pStyle w:val="167"/>
        <w:rPr>
          <w:rFonts w:ascii="Times New Roman"/>
        </w:rPr>
      </w:pPr>
      <w:bookmarkStart w:id="191" w:name="_Hlk91489281"/>
      <w:r>
        <w:rPr>
          <w:rFonts w:ascii="Times New Roman"/>
        </w:rPr>
        <w:t>应采用机械搅拌，搅拌设备可选用垂直轴，桨叶可选用平板型或叶轮式。</w:t>
      </w:r>
    </w:p>
    <w:p w14:paraId="4F2AFCFD">
      <w:pPr>
        <w:pStyle w:val="167"/>
        <w:rPr>
          <w:rFonts w:ascii="Times New Roman"/>
        </w:rPr>
      </w:pPr>
      <w:r>
        <w:rPr>
          <w:rFonts w:ascii="Times New Roman"/>
        </w:rPr>
        <w:t>搅拌速度梯度值为70 s</w:t>
      </w:r>
      <w:r>
        <w:rPr>
          <w:rFonts w:ascii="Times New Roman"/>
          <w:vertAlign w:val="superscript"/>
        </w:rPr>
        <w:t>-1</w:t>
      </w:r>
      <w:r>
        <w:rPr>
          <w:rFonts w:ascii="Times New Roman"/>
        </w:rPr>
        <w:t>~200 s</w:t>
      </w:r>
      <w:r>
        <w:rPr>
          <w:rFonts w:ascii="Times New Roman"/>
          <w:vertAlign w:val="superscript"/>
        </w:rPr>
        <w:t>-1</w:t>
      </w:r>
      <w:r>
        <w:rPr>
          <w:rFonts w:ascii="Times New Roman"/>
        </w:rPr>
        <w:t>。</w:t>
      </w:r>
    </w:p>
    <w:bookmarkEnd w:id="191"/>
    <w:p w14:paraId="59D99F01">
      <w:pPr>
        <w:pStyle w:val="108"/>
        <w:spacing w:before="156" w:after="156"/>
        <w:rPr>
          <w:rFonts w:ascii="Times New Roman"/>
        </w:rPr>
      </w:pPr>
      <w:bookmarkStart w:id="192" w:name="_Toc85207703"/>
      <w:bookmarkStart w:id="193" w:name="_Toc73459946"/>
      <w:bookmarkStart w:id="194" w:name="_Toc90918380"/>
      <w:bookmarkStart w:id="195" w:name="_Toc90918473"/>
      <w:r>
        <w:rPr>
          <w:rFonts w:ascii="Times New Roman"/>
        </w:rPr>
        <w:t>沉淀单元</w:t>
      </w:r>
      <w:bookmarkEnd w:id="192"/>
      <w:bookmarkEnd w:id="193"/>
      <w:bookmarkEnd w:id="194"/>
      <w:bookmarkEnd w:id="195"/>
    </w:p>
    <w:p w14:paraId="43EB6DBB">
      <w:pPr>
        <w:pStyle w:val="168"/>
        <w:rPr>
          <w:rFonts w:ascii="Times New Roman"/>
        </w:rPr>
      </w:pPr>
      <w:r>
        <w:rPr>
          <w:rFonts w:ascii="Times New Roman"/>
        </w:rPr>
        <w:t>沉淀池应采用斜管（板）沉淀池，结构示意图见</w:t>
      </w:r>
      <w:r>
        <w:rPr>
          <w:rFonts w:hint="eastAsia" w:ascii="Times New Roman"/>
        </w:rPr>
        <w:t>附录</w:t>
      </w:r>
      <w:r>
        <w:rPr>
          <w:rFonts w:ascii="Times New Roman"/>
        </w:rPr>
        <w:t>A.2。</w:t>
      </w:r>
    </w:p>
    <w:p w14:paraId="640F8C1F">
      <w:pPr>
        <w:pStyle w:val="168"/>
        <w:rPr>
          <w:rFonts w:ascii="Times New Roman"/>
        </w:rPr>
      </w:pPr>
      <w:r>
        <w:rPr>
          <w:rFonts w:ascii="Times New Roman"/>
        </w:rPr>
        <w:t>斜管（板）沉淀池设计要求应符合GB 50014</w:t>
      </w:r>
      <w:r>
        <w:rPr>
          <w:rFonts w:hint="eastAsia" w:ascii="Times New Roman"/>
        </w:rPr>
        <w:t>和</w:t>
      </w:r>
      <w:r>
        <w:rPr>
          <w:rFonts w:ascii="Times New Roman"/>
        </w:rPr>
        <w:t>GB 50013的规定。</w:t>
      </w:r>
    </w:p>
    <w:p w14:paraId="6963D7A3">
      <w:pPr>
        <w:pStyle w:val="168"/>
        <w:rPr>
          <w:rFonts w:ascii="Times New Roman"/>
        </w:rPr>
      </w:pPr>
      <w:r>
        <w:rPr>
          <w:rFonts w:ascii="Times New Roman"/>
        </w:rPr>
        <w:t>斜管（板）沉淀池的表面水力负荷为15 m</w:t>
      </w:r>
      <w:r>
        <w:rPr>
          <w:rFonts w:ascii="Times New Roman"/>
          <w:vertAlign w:val="superscript"/>
        </w:rPr>
        <w:t>3</w:t>
      </w:r>
      <w:r>
        <w:rPr>
          <w:rFonts w:ascii="Times New Roman"/>
        </w:rPr>
        <w:t>/（m</w:t>
      </w:r>
      <w:r>
        <w:rPr>
          <w:rFonts w:ascii="Times New Roman"/>
          <w:vertAlign w:val="superscript"/>
        </w:rPr>
        <w:t>2</w:t>
      </w:r>
      <w:r>
        <w:rPr>
          <w:rFonts w:ascii="Times New Roman"/>
        </w:rPr>
        <w:t>·</w:t>
      </w:r>
      <w:r>
        <w:rPr>
          <w:rFonts w:hint="eastAsia" w:ascii="Times New Roman"/>
        </w:rPr>
        <w:t>h</w:t>
      </w:r>
      <w:r>
        <w:rPr>
          <w:rFonts w:ascii="Times New Roman"/>
        </w:rPr>
        <w:t>）~40 m</w:t>
      </w:r>
      <w:r>
        <w:rPr>
          <w:rFonts w:ascii="Times New Roman"/>
          <w:vertAlign w:val="superscript"/>
        </w:rPr>
        <w:t>3</w:t>
      </w:r>
      <w:r>
        <w:rPr>
          <w:rFonts w:ascii="Times New Roman"/>
        </w:rPr>
        <w:t>/（m</w:t>
      </w:r>
      <w:r>
        <w:rPr>
          <w:rFonts w:ascii="Times New Roman"/>
          <w:vertAlign w:val="superscript"/>
        </w:rPr>
        <w:t>2</w:t>
      </w:r>
      <w:r>
        <w:rPr>
          <w:rFonts w:ascii="Times New Roman"/>
        </w:rPr>
        <w:t xml:space="preserve">·h），固体负荷宜小于60 </w:t>
      </w:r>
      <w:r>
        <w:rPr>
          <w:rFonts w:ascii="Times New Roman" w:eastAsia="等线"/>
          <w:kern w:val="2"/>
          <w:szCs w:val="22"/>
        </w:rPr>
        <w:t>kg/</w:t>
      </w:r>
      <w:r>
        <w:rPr>
          <w:rFonts w:ascii="Times New Roman"/>
        </w:rPr>
        <w:t>（</w:t>
      </w:r>
      <w:r>
        <w:rPr>
          <w:rFonts w:ascii="Times New Roman" w:eastAsia="等线"/>
          <w:kern w:val="2"/>
          <w:szCs w:val="22"/>
        </w:rPr>
        <w:t>m</w:t>
      </w:r>
      <w:r>
        <w:rPr>
          <w:rFonts w:ascii="Times New Roman" w:eastAsia="等线"/>
          <w:kern w:val="2"/>
          <w:szCs w:val="22"/>
          <w:vertAlign w:val="superscript"/>
        </w:rPr>
        <w:t>2</w:t>
      </w:r>
      <w:r>
        <w:rPr>
          <w:rFonts w:ascii="Times New Roman" w:eastAsia="等线"/>
          <w:kern w:val="2"/>
          <w:szCs w:val="21"/>
        </w:rPr>
        <w:t>·</w:t>
      </w:r>
      <w:r>
        <w:rPr>
          <w:rFonts w:ascii="Times New Roman" w:eastAsia="等线"/>
          <w:kern w:val="2"/>
          <w:szCs w:val="22"/>
        </w:rPr>
        <w:t>d</w:t>
      </w:r>
      <w:r>
        <w:rPr>
          <w:rFonts w:ascii="Times New Roman"/>
        </w:rPr>
        <w:t>）。</w:t>
      </w:r>
    </w:p>
    <w:p w14:paraId="365477A2">
      <w:pPr>
        <w:pStyle w:val="168"/>
        <w:rPr>
          <w:rFonts w:ascii="Times New Roman"/>
        </w:rPr>
      </w:pPr>
      <w:r>
        <w:rPr>
          <w:rFonts w:ascii="Times New Roman"/>
        </w:rPr>
        <w:t>斜管（板）沉淀池总水头损失小于0.5 m。</w:t>
      </w:r>
    </w:p>
    <w:p w14:paraId="3F2C1F0F">
      <w:pPr>
        <w:pStyle w:val="168"/>
        <w:rPr>
          <w:rFonts w:ascii="Times New Roman"/>
        </w:rPr>
      </w:pPr>
      <w:r>
        <w:rPr>
          <w:rFonts w:ascii="Times New Roman"/>
        </w:rPr>
        <w:t>斜管应采用聚丙烯或聚氯乙烯材质。</w:t>
      </w:r>
    </w:p>
    <w:p w14:paraId="055D13DF">
      <w:pPr>
        <w:pStyle w:val="168"/>
        <w:rPr>
          <w:rFonts w:ascii="Times New Roman"/>
        </w:rPr>
      </w:pPr>
      <w:r>
        <w:rPr>
          <w:rFonts w:ascii="Times New Roman"/>
        </w:rPr>
        <w:t>底部污泥区的容积应根据处理水量、SS去除量、加药量、排泥周期和浓度等参数通过计算确定。底部浓缩污泥斗容积按高效沉淀池泥斗设计，泥斗内磁粉污泥浓度</w:t>
      </w:r>
      <w:r>
        <w:rPr>
          <w:rFonts w:hint="eastAsia" w:ascii="Times New Roman"/>
        </w:rPr>
        <w:t>为</w:t>
      </w:r>
      <w:r>
        <w:rPr>
          <w:rFonts w:ascii="Times New Roman"/>
        </w:rPr>
        <w:t>40 g/L~80 g/L。</w:t>
      </w:r>
    </w:p>
    <w:p w14:paraId="0CC008BB">
      <w:pPr>
        <w:pStyle w:val="168"/>
        <w:rPr>
          <w:rFonts w:ascii="Times New Roman"/>
        </w:rPr>
      </w:pPr>
      <w:r>
        <w:rPr>
          <w:rFonts w:ascii="Times New Roman"/>
        </w:rPr>
        <w:t>斜管（板）沉淀池上部应设遮阳设施。</w:t>
      </w:r>
    </w:p>
    <w:p w14:paraId="13E35497">
      <w:pPr>
        <w:pStyle w:val="168"/>
        <w:rPr>
          <w:rFonts w:ascii="Times New Roman"/>
        </w:rPr>
      </w:pPr>
      <w:r>
        <w:rPr>
          <w:rFonts w:ascii="Times New Roman"/>
        </w:rPr>
        <w:t>进入沉淀区前应设置导流区。</w:t>
      </w:r>
    </w:p>
    <w:p w14:paraId="48230060">
      <w:pPr>
        <w:pStyle w:val="168"/>
        <w:rPr>
          <w:rFonts w:ascii="Times New Roman"/>
        </w:rPr>
      </w:pPr>
      <w:r>
        <w:rPr>
          <w:rFonts w:ascii="Times New Roman"/>
        </w:rPr>
        <w:t>沉淀单元不少于</w:t>
      </w:r>
      <w:r>
        <w:rPr>
          <w:rFonts w:hint="eastAsia" w:ascii="Times New Roman"/>
        </w:rPr>
        <w:t>2</w:t>
      </w:r>
      <w:r>
        <w:rPr>
          <w:rFonts w:ascii="Times New Roman"/>
        </w:rPr>
        <w:t>组，按并联设计且每组应能单独运行，单格沉淀池边长不超过16 m。</w:t>
      </w:r>
    </w:p>
    <w:p w14:paraId="01D25046">
      <w:pPr>
        <w:pStyle w:val="168"/>
        <w:rPr>
          <w:rFonts w:ascii="Times New Roman"/>
        </w:rPr>
      </w:pPr>
      <w:r>
        <w:rPr>
          <w:rFonts w:ascii="Times New Roman"/>
        </w:rPr>
        <w:t>沉淀池池型宜为正方形，当池体为钢筋混凝土结构时，池底角落需做填实抹圆处理，底坡坡度大于10%，抹圆坡角大于45°。</w:t>
      </w:r>
    </w:p>
    <w:p w14:paraId="404E774E">
      <w:pPr>
        <w:pStyle w:val="108"/>
        <w:spacing w:before="156" w:after="156"/>
        <w:rPr>
          <w:rFonts w:ascii="Times New Roman"/>
        </w:rPr>
      </w:pPr>
      <w:bookmarkStart w:id="196" w:name="_Toc73459949"/>
      <w:bookmarkStart w:id="197" w:name="_Toc90918474"/>
      <w:bookmarkStart w:id="198" w:name="_Toc85207704"/>
      <w:bookmarkStart w:id="199" w:name="_Toc90918383"/>
      <w:r>
        <w:rPr>
          <w:rFonts w:ascii="Times New Roman"/>
        </w:rPr>
        <w:t>磁粉回收单元</w:t>
      </w:r>
      <w:bookmarkEnd w:id="196"/>
      <w:bookmarkEnd w:id="197"/>
      <w:bookmarkEnd w:id="198"/>
      <w:bookmarkEnd w:id="199"/>
    </w:p>
    <w:p w14:paraId="01749C98">
      <w:pPr>
        <w:pStyle w:val="68"/>
        <w:spacing w:before="156" w:after="156"/>
        <w:rPr>
          <w:rFonts w:ascii="Times New Roman"/>
        </w:rPr>
      </w:pPr>
      <w:r>
        <w:rPr>
          <w:rFonts w:ascii="Times New Roman"/>
        </w:rPr>
        <w:t>一般原则</w:t>
      </w:r>
    </w:p>
    <w:p w14:paraId="5D0FFEC3">
      <w:pPr>
        <w:pStyle w:val="167"/>
        <w:rPr>
          <w:rFonts w:ascii="Times New Roman"/>
        </w:rPr>
      </w:pPr>
      <w:r>
        <w:rPr>
          <w:rFonts w:ascii="Times New Roman"/>
        </w:rPr>
        <w:t>磁粉回收单元运行环境温度为-5 ℃~40 ℃，运行时需采用防晒、防腐和保温措施。</w:t>
      </w:r>
    </w:p>
    <w:p w14:paraId="1E93CA52">
      <w:pPr>
        <w:pStyle w:val="167"/>
        <w:rPr>
          <w:rFonts w:ascii="Times New Roman"/>
        </w:rPr>
      </w:pPr>
      <w:r>
        <w:rPr>
          <w:rFonts w:ascii="Times New Roman"/>
        </w:rPr>
        <w:t>磁粉回收泵可采用渣浆泵。</w:t>
      </w:r>
    </w:p>
    <w:p w14:paraId="26C55EBE">
      <w:pPr>
        <w:pStyle w:val="167"/>
        <w:rPr>
          <w:rFonts w:ascii="Times New Roman"/>
        </w:rPr>
      </w:pPr>
      <w:r>
        <w:rPr>
          <w:rFonts w:ascii="Times New Roman"/>
        </w:rPr>
        <w:t>磁粉回收泵前后可采用手动对夹式刀闸阀。</w:t>
      </w:r>
    </w:p>
    <w:p w14:paraId="61F0A807">
      <w:pPr>
        <w:pStyle w:val="167"/>
        <w:rPr>
          <w:rFonts w:ascii="Times New Roman"/>
        </w:rPr>
      </w:pPr>
      <w:r>
        <w:rPr>
          <w:rFonts w:ascii="Times New Roman"/>
        </w:rPr>
        <w:t>磁粉需定期补充。</w:t>
      </w:r>
    </w:p>
    <w:p w14:paraId="3F4E6666">
      <w:pPr>
        <w:pStyle w:val="167"/>
        <w:rPr>
          <w:rFonts w:ascii="Times New Roman"/>
        </w:rPr>
      </w:pPr>
      <w:r>
        <w:rPr>
          <w:rFonts w:ascii="Times New Roman"/>
        </w:rPr>
        <w:t>磁粉回收量应根据系统的计算产量和含水率确定。</w:t>
      </w:r>
    </w:p>
    <w:p w14:paraId="5CFE5A13">
      <w:pPr>
        <w:pStyle w:val="68"/>
        <w:spacing w:before="156" w:after="156"/>
        <w:rPr>
          <w:rFonts w:ascii="Times New Roman"/>
        </w:rPr>
      </w:pPr>
      <w:bookmarkStart w:id="200" w:name="_Toc73459952"/>
      <w:bookmarkStart w:id="201" w:name="_Toc90918385"/>
      <w:bookmarkStart w:id="202" w:name="_Toc73459951"/>
      <w:r>
        <w:rPr>
          <w:rFonts w:ascii="Times New Roman"/>
        </w:rPr>
        <w:t>解絮机</w:t>
      </w:r>
      <w:bookmarkEnd w:id="200"/>
      <w:bookmarkEnd w:id="201"/>
    </w:p>
    <w:p w14:paraId="3CF85607">
      <w:pPr>
        <w:pStyle w:val="167"/>
        <w:rPr>
          <w:rFonts w:ascii="Times New Roman"/>
        </w:rPr>
      </w:pPr>
      <w:r>
        <w:rPr>
          <w:rFonts w:ascii="Times New Roman"/>
        </w:rPr>
        <w:t>由驱动部件、主动轴、叶轮、机械密封、壳体等构成。</w:t>
      </w:r>
    </w:p>
    <w:p w14:paraId="1E0910FA">
      <w:pPr>
        <w:pStyle w:val="167"/>
        <w:rPr>
          <w:rFonts w:ascii="Times New Roman"/>
        </w:rPr>
      </w:pPr>
      <w:r>
        <w:rPr>
          <w:rFonts w:ascii="Times New Roman"/>
        </w:rPr>
        <w:t>与水接触部分应采用不锈钢或耐磨性能更高的材质。</w:t>
      </w:r>
    </w:p>
    <w:p w14:paraId="5CDD16C4">
      <w:pPr>
        <w:pStyle w:val="167"/>
        <w:rPr>
          <w:rFonts w:ascii="Times New Roman"/>
        </w:rPr>
      </w:pPr>
      <w:r>
        <w:rPr>
          <w:rFonts w:ascii="Times New Roman"/>
        </w:rPr>
        <w:t>处理量应与磁粉回收泵的流量相匹配，为总处理量的10%。</w:t>
      </w:r>
    </w:p>
    <w:p w14:paraId="5AE4863A">
      <w:pPr>
        <w:pStyle w:val="167"/>
        <w:rPr>
          <w:rFonts w:ascii="Times New Roman"/>
        </w:rPr>
      </w:pPr>
      <w:r>
        <w:rPr>
          <w:rFonts w:ascii="Times New Roman"/>
        </w:rPr>
        <w:t>电机转速为1000 r/min~1500 r/min。</w:t>
      </w:r>
    </w:p>
    <w:p w14:paraId="0874018C">
      <w:pPr>
        <w:pStyle w:val="68"/>
        <w:spacing w:before="156" w:after="156"/>
        <w:rPr>
          <w:rFonts w:ascii="Times New Roman"/>
        </w:rPr>
      </w:pPr>
      <w:bookmarkStart w:id="203" w:name="_Toc90918386"/>
      <w:r>
        <w:rPr>
          <w:rFonts w:ascii="Times New Roman"/>
        </w:rPr>
        <w:t>磁分离机</w:t>
      </w:r>
      <w:bookmarkEnd w:id="202"/>
      <w:bookmarkEnd w:id="203"/>
    </w:p>
    <w:p w14:paraId="649856CC">
      <w:pPr>
        <w:pStyle w:val="167"/>
        <w:rPr>
          <w:rFonts w:ascii="Times New Roman"/>
        </w:rPr>
      </w:pPr>
      <w:r>
        <w:rPr>
          <w:rFonts w:ascii="Times New Roman"/>
        </w:rPr>
        <w:t>由电机、磁滚筒、进料槽、槽体、排泥管、防护罩等组成。</w:t>
      </w:r>
    </w:p>
    <w:p w14:paraId="4346BABC">
      <w:pPr>
        <w:pStyle w:val="167"/>
        <w:rPr>
          <w:rFonts w:ascii="Times New Roman"/>
        </w:rPr>
      </w:pPr>
      <w:r>
        <w:rPr>
          <w:rFonts w:ascii="Times New Roman"/>
        </w:rPr>
        <w:t>处理量应与解絮机处理量和磁粉回收泵的流量相匹配。</w:t>
      </w:r>
    </w:p>
    <w:p w14:paraId="0B7683FC">
      <w:pPr>
        <w:pStyle w:val="167"/>
        <w:rPr>
          <w:rFonts w:ascii="Times New Roman"/>
        </w:rPr>
      </w:pPr>
      <w:r>
        <w:rPr>
          <w:rFonts w:ascii="Times New Roman"/>
        </w:rPr>
        <w:t>磁滚筒的回收区表面最大磁感应强度不小于500 mT。</w:t>
      </w:r>
    </w:p>
    <w:p w14:paraId="5CB20B2D">
      <w:pPr>
        <w:pStyle w:val="167"/>
        <w:rPr>
          <w:rFonts w:ascii="Times New Roman"/>
        </w:rPr>
      </w:pPr>
      <w:r>
        <w:rPr>
          <w:rFonts w:ascii="Times New Roman"/>
        </w:rPr>
        <w:t>电机采用可调速电机，运行速度为20 r/min~45 r/min。</w:t>
      </w:r>
    </w:p>
    <w:p w14:paraId="356392C4">
      <w:pPr>
        <w:pStyle w:val="167"/>
        <w:rPr>
          <w:rFonts w:ascii="Times New Roman"/>
        </w:rPr>
      </w:pPr>
      <w:r>
        <w:rPr>
          <w:rFonts w:ascii="Times New Roman"/>
        </w:rPr>
        <w:t>预留设置磁滚筒的水冲洗装置接口。</w:t>
      </w:r>
    </w:p>
    <w:p w14:paraId="761B57F6">
      <w:pPr>
        <w:pStyle w:val="167"/>
        <w:rPr>
          <w:rFonts w:ascii="Times New Roman"/>
        </w:rPr>
      </w:pPr>
      <w:r>
        <w:rPr>
          <w:rFonts w:ascii="Times New Roman"/>
        </w:rPr>
        <w:t>外壳</w:t>
      </w:r>
      <w:r>
        <w:rPr>
          <w:rFonts w:hint="eastAsia" w:ascii="Times New Roman"/>
        </w:rPr>
        <w:t>应</w:t>
      </w:r>
      <w:r>
        <w:rPr>
          <w:rFonts w:ascii="Times New Roman"/>
        </w:rPr>
        <w:t>设置观察窗。</w:t>
      </w:r>
    </w:p>
    <w:p w14:paraId="082074B5">
      <w:pPr>
        <w:pStyle w:val="108"/>
        <w:spacing w:before="156" w:after="156"/>
        <w:rPr>
          <w:rFonts w:ascii="Times New Roman"/>
        </w:rPr>
      </w:pPr>
      <w:bookmarkStart w:id="204" w:name="_Toc90918387"/>
      <w:bookmarkStart w:id="205" w:name="_Toc85207705"/>
      <w:bookmarkStart w:id="206" w:name="_Toc90918475"/>
      <w:r>
        <w:rPr>
          <w:rFonts w:ascii="Times New Roman"/>
        </w:rPr>
        <w:t>污泥回流单元</w:t>
      </w:r>
    </w:p>
    <w:p w14:paraId="6164E8D1">
      <w:pPr>
        <w:pStyle w:val="168"/>
        <w:rPr>
          <w:rFonts w:ascii="Times New Roman"/>
        </w:rPr>
      </w:pPr>
      <w:r>
        <w:rPr>
          <w:rFonts w:ascii="Times New Roman"/>
        </w:rPr>
        <w:t>磁粉污泥回流量应为设计水量的3%~8%。</w:t>
      </w:r>
    </w:p>
    <w:p w14:paraId="5D640EA1">
      <w:pPr>
        <w:pStyle w:val="168"/>
        <w:rPr>
          <w:rFonts w:ascii="Times New Roman"/>
        </w:rPr>
      </w:pPr>
      <w:r>
        <w:rPr>
          <w:rFonts w:ascii="Times New Roman"/>
        </w:rPr>
        <w:t>磁粉污泥输送管路应设置配套冲洗设施。</w:t>
      </w:r>
    </w:p>
    <w:p w14:paraId="12F423C8">
      <w:pPr>
        <w:pStyle w:val="168"/>
        <w:rPr>
          <w:rFonts w:ascii="Times New Roman"/>
        </w:rPr>
      </w:pPr>
      <w:r>
        <w:rPr>
          <w:rFonts w:ascii="Times New Roman"/>
        </w:rPr>
        <w:t>磁粉污泥回收管道应设置可在线采集数据的流量计。</w:t>
      </w:r>
    </w:p>
    <w:p w14:paraId="589F8EF8">
      <w:pPr>
        <w:pStyle w:val="168"/>
        <w:rPr>
          <w:rFonts w:ascii="Times New Roman"/>
        </w:rPr>
      </w:pPr>
      <w:r>
        <w:rPr>
          <w:rFonts w:ascii="Times New Roman"/>
        </w:rPr>
        <w:t>污泥回流泵应具备耐磨损、耐腐蚀和防堵塞等性能，可选用渣浆泵。</w:t>
      </w:r>
    </w:p>
    <w:p w14:paraId="6F209E3E">
      <w:pPr>
        <w:pStyle w:val="168"/>
        <w:rPr>
          <w:rFonts w:ascii="Times New Roman"/>
        </w:rPr>
      </w:pPr>
      <w:r>
        <w:rPr>
          <w:rFonts w:ascii="Times New Roman"/>
        </w:rPr>
        <w:t>污泥管道应选用金属材质或其他具有耐磨性能的材质。</w:t>
      </w:r>
    </w:p>
    <w:p w14:paraId="062941EF">
      <w:pPr>
        <w:pStyle w:val="108"/>
        <w:spacing w:before="156" w:after="156"/>
        <w:rPr>
          <w:rFonts w:ascii="Times New Roman"/>
        </w:rPr>
      </w:pPr>
      <w:r>
        <w:rPr>
          <w:rFonts w:ascii="Times New Roman"/>
        </w:rPr>
        <w:t>药剂投加单元</w:t>
      </w:r>
      <w:bookmarkEnd w:id="204"/>
      <w:bookmarkEnd w:id="205"/>
      <w:bookmarkEnd w:id="206"/>
    </w:p>
    <w:p w14:paraId="1D5755E6">
      <w:pPr>
        <w:pStyle w:val="168"/>
        <w:rPr>
          <w:rFonts w:ascii="Times New Roman"/>
        </w:rPr>
      </w:pPr>
      <w:bookmarkStart w:id="207" w:name="_Hlk91489909"/>
      <w:r>
        <w:rPr>
          <w:rFonts w:ascii="Times New Roman"/>
        </w:rPr>
        <w:t>应根据进水水质，通过试验、参考同类项目或参照相关标准选择和投加混凝剂、助凝剂和磁粉。</w:t>
      </w:r>
    </w:p>
    <w:p w14:paraId="707A5A47">
      <w:pPr>
        <w:pStyle w:val="168"/>
        <w:rPr>
          <w:rFonts w:ascii="Times New Roman" w:eastAsia="黑体"/>
        </w:rPr>
      </w:pPr>
      <w:r>
        <w:rPr>
          <w:rFonts w:ascii="Times New Roman"/>
        </w:rPr>
        <w:t>混凝剂和絮凝剂的选择和投加：</w:t>
      </w:r>
    </w:p>
    <w:p w14:paraId="74A990F8">
      <w:pPr>
        <w:pStyle w:val="135"/>
        <w:rPr>
          <w:rFonts w:ascii="Times New Roman"/>
        </w:rPr>
      </w:pPr>
      <w:r>
        <w:rPr>
          <w:rFonts w:ascii="Times New Roman"/>
        </w:rPr>
        <w:t>混凝剂和絮凝剂应采用液态投加方式；</w:t>
      </w:r>
    </w:p>
    <w:p w14:paraId="5572FAFB">
      <w:pPr>
        <w:pStyle w:val="135"/>
        <w:rPr>
          <w:rFonts w:ascii="Times New Roman"/>
        </w:rPr>
      </w:pPr>
      <w:r>
        <w:rPr>
          <w:rFonts w:ascii="Times New Roman"/>
        </w:rPr>
        <w:t>混凝剂和絮凝剂的选择可参照HJ 2006执行；</w:t>
      </w:r>
    </w:p>
    <w:p w14:paraId="75F56437">
      <w:pPr>
        <w:pStyle w:val="135"/>
        <w:rPr>
          <w:rFonts w:ascii="Times New Roman"/>
        </w:rPr>
      </w:pPr>
      <w:r>
        <w:rPr>
          <w:rFonts w:ascii="Times New Roman"/>
        </w:rPr>
        <w:t>混凝剂和助凝剂的投配应符合GB 50013的规定；</w:t>
      </w:r>
    </w:p>
    <w:p w14:paraId="6CBF9074">
      <w:pPr>
        <w:pStyle w:val="135"/>
        <w:rPr>
          <w:rFonts w:ascii="Times New Roman"/>
        </w:rPr>
      </w:pPr>
      <w:r>
        <w:rPr>
          <w:rFonts w:ascii="Times New Roman"/>
        </w:rPr>
        <w:t>混凝剂主要选用铁盐、铝盐或铁/铝聚合盐类，配置浓度为8%~12%；</w:t>
      </w:r>
    </w:p>
    <w:p w14:paraId="16FCC891">
      <w:pPr>
        <w:pStyle w:val="135"/>
        <w:rPr>
          <w:rFonts w:ascii="Times New Roman"/>
        </w:rPr>
      </w:pPr>
      <w:r>
        <w:rPr>
          <w:rFonts w:ascii="Times New Roman"/>
        </w:rPr>
        <w:t>助凝剂主要选用聚丙烯酰胺（PAM），投加量为0.5 mg~2.0 mg/L，投加浓度为0.1%~0.3%。</w:t>
      </w:r>
    </w:p>
    <w:p w14:paraId="18085AEA">
      <w:pPr>
        <w:pStyle w:val="168"/>
        <w:rPr>
          <w:rFonts w:ascii="Times New Roman"/>
        </w:rPr>
      </w:pPr>
      <w:r>
        <w:rPr>
          <w:rFonts w:ascii="Times New Roman"/>
        </w:rPr>
        <w:t>磁粉的选择和投加：</w:t>
      </w:r>
    </w:p>
    <w:p w14:paraId="28B20B4E">
      <w:pPr>
        <w:pStyle w:val="135"/>
        <w:rPr>
          <w:rFonts w:ascii="Times New Roman"/>
        </w:rPr>
      </w:pPr>
      <w:r>
        <w:rPr>
          <w:rFonts w:ascii="Times New Roman"/>
        </w:rPr>
        <w:t>磁粉应采用干法投加，补充投加时采用间歇方式，投加频次不小于2次/</w:t>
      </w:r>
      <w:r>
        <w:rPr>
          <w:rFonts w:hint="eastAsia" w:ascii="Times New Roman"/>
        </w:rPr>
        <w:t>天</w:t>
      </w:r>
      <w:r>
        <w:rPr>
          <w:rFonts w:ascii="Times New Roman"/>
        </w:rPr>
        <w:t>；</w:t>
      </w:r>
    </w:p>
    <w:p w14:paraId="632DDC0E">
      <w:pPr>
        <w:pStyle w:val="135"/>
        <w:rPr>
          <w:rFonts w:ascii="Times New Roman"/>
        </w:rPr>
      </w:pPr>
      <w:r>
        <w:rPr>
          <w:rFonts w:ascii="Times New Roman"/>
        </w:rPr>
        <w:t>磁粉主要成分为四氧化三铁，粒径应不小于100目，磁性物含量不低于90%；</w:t>
      </w:r>
    </w:p>
    <w:p w14:paraId="1DC038B6">
      <w:pPr>
        <w:pStyle w:val="135"/>
        <w:rPr>
          <w:rFonts w:ascii="Times New Roman"/>
        </w:rPr>
      </w:pPr>
      <w:r>
        <w:rPr>
          <w:rFonts w:ascii="Times New Roman"/>
        </w:rPr>
        <w:t>磁粉初始投加量根据试验结果确定。无试验数据时，磁粉初始投加量为20 kg/m</w:t>
      </w:r>
      <w:r>
        <w:rPr>
          <w:rFonts w:ascii="Times New Roman"/>
          <w:vertAlign w:val="superscript"/>
        </w:rPr>
        <w:t>3</w:t>
      </w:r>
      <w:r>
        <w:rPr>
          <w:rFonts w:ascii="Times New Roman"/>
        </w:rPr>
        <w:t>池容~40 kg/m</w:t>
      </w:r>
      <w:r>
        <w:rPr>
          <w:rFonts w:ascii="Times New Roman"/>
          <w:vertAlign w:val="superscript"/>
        </w:rPr>
        <w:t>3</w:t>
      </w:r>
      <w:r>
        <w:rPr>
          <w:rFonts w:ascii="Times New Roman"/>
        </w:rPr>
        <w:t>池容；</w:t>
      </w:r>
    </w:p>
    <w:p w14:paraId="28D3B76B">
      <w:pPr>
        <w:pStyle w:val="135"/>
        <w:rPr>
          <w:rFonts w:ascii="Times New Roman"/>
        </w:rPr>
      </w:pPr>
      <w:r>
        <w:rPr>
          <w:rFonts w:ascii="Times New Roman"/>
        </w:rPr>
        <w:t>磁粉补充投加量应根据水质和水量确定，平均投加量小于5 mg/L。</w:t>
      </w:r>
    </w:p>
    <w:bookmarkEnd w:id="207"/>
    <w:p w14:paraId="24B36A94">
      <w:pPr>
        <w:pStyle w:val="108"/>
        <w:spacing w:before="156" w:after="156"/>
        <w:rPr>
          <w:rFonts w:ascii="Times New Roman"/>
        </w:rPr>
      </w:pPr>
      <w:r>
        <w:rPr>
          <w:rFonts w:ascii="Times New Roman"/>
        </w:rPr>
        <w:t>控制单元</w:t>
      </w:r>
    </w:p>
    <w:p w14:paraId="5DEF0E5C">
      <w:pPr>
        <w:pStyle w:val="168"/>
        <w:rPr>
          <w:rFonts w:ascii="Times New Roman"/>
        </w:rPr>
      </w:pPr>
      <w:r>
        <w:rPr>
          <w:rFonts w:ascii="Times New Roman"/>
        </w:rPr>
        <w:t>电机设备可就地控制和集中远程控制。</w:t>
      </w:r>
    </w:p>
    <w:p w14:paraId="3706C82C">
      <w:pPr>
        <w:pStyle w:val="168"/>
        <w:rPr>
          <w:rFonts w:ascii="Times New Roman"/>
        </w:rPr>
      </w:pPr>
      <w:r>
        <w:rPr>
          <w:rFonts w:ascii="Times New Roman"/>
        </w:rPr>
        <w:t>流量和液位的检测应设置高低限制报警。</w:t>
      </w:r>
    </w:p>
    <w:p w14:paraId="1A3A1747">
      <w:pPr>
        <w:pStyle w:val="168"/>
        <w:rPr>
          <w:rFonts w:ascii="Times New Roman"/>
        </w:rPr>
      </w:pPr>
      <w:r>
        <w:rPr>
          <w:rFonts w:ascii="Times New Roman"/>
        </w:rPr>
        <w:t>参与控制和管理的机电设备应设置工作与故障状态的检测装置。</w:t>
      </w:r>
    </w:p>
    <w:p w14:paraId="419BC9B9">
      <w:pPr>
        <w:pStyle w:val="168"/>
        <w:rPr>
          <w:rFonts w:ascii="Times New Roman"/>
        </w:rPr>
      </w:pPr>
      <w:r>
        <w:rPr>
          <w:rFonts w:ascii="Times New Roman"/>
        </w:rPr>
        <w:t>采集或控制的参数包括：混凝剂投加量、絮凝剂投加量、磁粉污泥回流量、磁粉污泥回收流量、沉淀池出水SS浓度和TP浓度等。</w:t>
      </w:r>
    </w:p>
    <w:p w14:paraId="7A42EDD3">
      <w:pPr>
        <w:pStyle w:val="168"/>
        <w:rPr>
          <w:rFonts w:ascii="Times New Roman"/>
        </w:rPr>
      </w:pPr>
      <w:r>
        <w:rPr>
          <w:rFonts w:ascii="Times New Roman"/>
        </w:rPr>
        <w:t>磁分离机因故障等原因停止运行时，应连锁停运磁粉回收泵和解絮机。</w:t>
      </w:r>
    </w:p>
    <w:p w14:paraId="74AAAE69">
      <w:pPr>
        <w:pStyle w:val="168"/>
        <w:rPr>
          <w:rFonts w:ascii="Times New Roman"/>
        </w:rPr>
      </w:pPr>
      <w:r>
        <w:rPr>
          <w:rFonts w:ascii="Times New Roman"/>
        </w:rPr>
        <w:t>混凝剂、絮凝剂和磁粉应通过机械隔膜计量泵、螺杆泵等加药泵进行自动投加，投加装置与其对应的料位设置连锁保护。</w:t>
      </w:r>
    </w:p>
    <w:p w14:paraId="52F1EE99">
      <w:pPr>
        <w:pStyle w:val="168"/>
        <w:rPr>
          <w:rFonts w:ascii="Times New Roman"/>
        </w:rPr>
      </w:pPr>
      <w:r>
        <w:rPr>
          <w:rFonts w:ascii="Times New Roman"/>
        </w:rPr>
        <w:t>控制单元应对机电设备的工作状态和仪表检测数据实时显示，历史数据应定期自动保存。</w:t>
      </w:r>
    </w:p>
    <w:p w14:paraId="412DC339">
      <w:pPr>
        <w:pStyle w:val="168"/>
        <w:rPr>
          <w:rFonts w:ascii="Times New Roman"/>
        </w:rPr>
      </w:pPr>
      <w:r>
        <w:rPr>
          <w:rFonts w:ascii="Times New Roman"/>
        </w:rPr>
        <w:t>设备及工艺过程出现非正常运行状况时，控制单元应及时报警并</w:t>
      </w:r>
      <w:r>
        <w:rPr>
          <w:rFonts w:hint="eastAsia" w:ascii="Times New Roman"/>
        </w:rPr>
        <w:t>自动</w:t>
      </w:r>
      <w:r>
        <w:rPr>
          <w:rFonts w:ascii="Times New Roman"/>
        </w:rPr>
        <w:t>记录。</w:t>
      </w:r>
      <w:bookmarkStart w:id="208" w:name="_Toc90918477"/>
      <w:bookmarkStart w:id="209" w:name="_Toc114845576"/>
      <w:bookmarkStart w:id="210" w:name="_Toc126055493"/>
      <w:bookmarkStart w:id="211" w:name="_Toc73459954"/>
      <w:bookmarkStart w:id="212" w:name="_Toc112224483"/>
      <w:bookmarkStart w:id="213" w:name="_Toc118991571"/>
      <w:bookmarkStart w:id="214" w:name="_Toc112144699"/>
      <w:bookmarkStart w:id="215" w:name="_Toc85207707"/>
      <w:bookmarkStart w:id="216" w:name="_Toc90918389"/>
    </w:p>
    <w:bookmarkEnd w:id="208"/>
    <w:bookmarkEnd w:id="209"/>
    <w:bookmarkEnd w:id="210"/>
    <w:bookmarkEnd w:id="211"/>
    <w:bookmarkEnd w:id="212"/>
    <w:bookmarkEnd w:id="213"/>
    <w:bookmarkEnd w:id="214"/>
    <w:bookmarkEnd w:id="215"/>
    <w:bookmarkEnd w:id="216"/>
    <w:p w14:paraId="1078F017">
      <w:pPr>
        <w:pStyle w:val="107"/>
        <w:spacing w:before="312" w:after="312"/>
        <w:rPr>
          <w:rFonts w:ascii="Times New Roman"/>
        </w:rPr>
      </w:pPr>
      <w:bookmarkStart w:id="217" w:name="_Toc146718664"/>
      <w:bookmarkStart w:id="218" w:name="_Toc135742101"/>
      <w:bookmarkStart w:id="219" w:name="_Toc126055495"/>
      <w:bookmarkStart w:id="220" w:name="_Toc133336330"/>
      <w:bookmarkStart w:id="221" w:name="_Toc118991573"/>
      <w:bookmarkStart w:id="222" w:name="_Toc128675764"/>
      <w:bookmarkStart w:id="223" w:name="_Toc173937689"/>
      <w:bookmarkStart w:id="224" w:name="_Toc114845578"/>
      <w:bookmarkStart w:id="225" w:name="_Toc134185997"/>
      <w:bookmarkStart w:id="226" w:name="_Toc135742120"/>
      <w:bookmarkStart w:id="227" w:name="_Toc135746980"/>
      <w:bookmarkStart w:id="228" w:name="_Toc128675561"/>
      <w:bookmarkStart w:id="229" w:name="_Toc133498537"/>
      <w:bookmarkStart w:id="230" w:name="_Toc112144701"/>
      <w:bookmarkStart w:id="231" w:name="_Toc112224485"/>
      <w:r>
        <w:rPr>
          <w:rFonts w:ascii="Times New Roman"/>
        </w:rPr>
        <w:t>调试与验收</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C344B06">
      <w:pPr>
        <w:pStyle w:val="108"/>
        <w:spacing w:before="156" w:after="156"/>
        <w:rPr>
          <w:rFonts w:ascii="Times New Roman"/>
        </w:rPr>
      </w:pPr>
      <w:r>
        <w:rPr>
          <w:rFonts w:ascii="Times New Roman"/>
        </w:rPr>
        <w:t>一般规定</w:t>
      </w:r>
    </w:p>
    <w:p w14:paraId="7DB855DC">
      <w:pPr>
        <w:pStyle w:val="168"/>
        <w:rPr>
          <w:rFonts w:ascii="Times New Roman"/>
        </w:rPr>
      </w:pPr>
      <w:r>
        <w:rPr>
          <w:rFonts w:ascii="Times New Roman"/>
        </w:rPr>
        <w:t>磁混凝工艺土建工程的施工与验收应满足GB 50141、GB 50204、GB 50205和GB 50334、GB 55006、GB 55008、GB 55026、GB 55027的相关规定。</w:t>
      </w:r>
    </w:p>
    <w:p w14:paraId="1F328505">
      <w:pPr>
        <w:pStyle w:val="168"/>
        <w:rPr>
          <w:rFonts w:ascii="Times New Roman"/>
        </w:rPr>
      </w:pPr>
      <w:r>
        <w:rPr>
          <w:rFonts w:ascii="Times New Roman"/>
        </w:rPr>
        <w:t>污水处理厂内设备噪声控制应符合GB 12348和GB/T 50087的有关规定。</w:t>
      </w:r>
    </w:p>
    <w:p w14:paraId="68B41A5C">
      <w:pPr>
        <w:pStyle w:val="108"/>
        <w:spacing w:before="156" w:after="156"/>
        <w:rPr>
          <w:rFonts w:ascii="Times New Roman"/>
        </w:rPr>
      </w:pPr>
      <w:r>
        <w:rPr>
          <w:rFonts w:ascii="Times New Roman"/>
        </w:rPr>
        <w:t>调试</w:t>
      </w:r>
    </w:p>
    <w:p w14:paraId="3DD9A27C">
      <w:pPr>
        <w:pStyle w:val="168"/>
        <w:rPr>
          <w:rFonts w:ascii="Times New Roman"/>
        </w:rPr>
      </w:pPr>
      <w:r>
        <w:rPr>
          <w:rFonts w:ascii="Times New Roman"/>
        </w:rPr>
        <w:t>单机调试应确认单机的运转方向、电路、通信等并做好记录。解絮机应按操作规程进行带负荷试车。测试计量泵的读数与投加量曲线时应校对计量泵投加量。</w:t>
      </w:r>
    </w:p>
    <w:p w14:paraId="7EA72AA9">
      <w:pPr>
        <w:pStyle w:val="168"/>
        <w:rPr>
          <w:rFonts w:ascii="Times New Roman"/>
        </w:rPr>
      </w:pPr>
      <w:r>
        <w:rPr>
          <w:rFonts w:ascii="Times New Roman"/>
        </w:rPr>
        <w:t>各单元联动调试前应检测进水水质，确定药剂投加量。</w:t>
      </w:r>
    </w:p>
    <w:p w14:paraId="6E1CA2C8">
      <w:pPr>
        <w:pStyle w:val="168"/>
        <w:rPr>
          <w:rFonts w:ascii="Times New Roman"/>
        </w:rPr>
      </w:pPr>
      <w:r>
        <w:rPr>
          <w:rFonts w:ascii="Times New Roman"/>
        </w:rPr>
        <w:t>各单元联动调试应按设计要求检查设备和自控系统性能。</w:t>
      </w:r>
    </w:p>
    <w:p w14:paraId="748ED86D">
      <w:pPr>
        <w:pStyle w:val="168"/>
        <w:rPr>
          <w:rFonts w:ascii="Times New Roman"/>
        </w:rPr>
      </w:pPr>
      <w:r>
        <w:rPr>
          <w:rFonts w:ascii="Times New Roman"/>
        </w:rPr>
        <w:t>应根据混凝效果合理调整药剂的投加点和投加量及搅拌机相关运行参数。</w:t>
      </w:r>
    </w:p>
    <w:p w14:paraId="2711D1A0">
      <w:pPr>
        <w:pStyle w:val="168"/>
        <w:rPr>
          <w:rFonts w:ascii="Times New Roman"/>
        </w:rPr>
      </w:pPr>
      <w:r>
        <w:rPr>
          <w:rFonts w:ascii="Times New Roman"/>
        </w:rPr>
        <w:t>应根据进水时流量及磁粉污泥浓度调整污泥回流泵和磁粉回收泵的流量。</w:t>
      </w:r>
    </w:p>
    <w:p w14:paraId="71A39C8C">
      <w:pPr>
        <w:pStyle w:val="168"/>
        <w:rPr>
          <w:rFonts w:ascii="Times New Roman"/>
        </w:rPr>
      </w:pPr>
      <w:r>
        <w:rPr>
          <w:rFonts w:ascii="Times New Roman"/>
        </w:rPr>
        <w:t>应根据磁分离机上的磁粉分布情况调整磁分离机。</w:t>
      </w:r>
    </w:p>
    <w:p w14:paraId="128D9AA3">
      <w:pPr>
        <w:pStyle w:val="168"/>
        <w:rPr>
          <w:rFonts w:ascii="Times New Roman"/>
        </w:rPr>
      </w:pPr>
      <w:r>
        <w:rPr>
          <w:rFonts w:ascii="Times New Roman"/>
        </w:rPr>
        <w:t>调试过程中应对进出水各项指标以及各工况参数进行检测、记录、统计和分析。</w:t>
      </w:r>
    </w:p>
    <w:p w14:paraId="5789A957">
      <w:pPr>
        <w:pStyle w:val="168"/>
        <w:rPr>
          <w:rFonts w:ascii="Times New Roman"/>
        </w:rPr>
      </w:pPr>
      <w:r>
        <w:rPr>
          <w:rFonts w:ascii="Times New Roman"/>
        </w:rPr>
        <w:t>调试完成后应根据水量和水质对各设备使用参数进行合理匹配，编制调试报告，制定操作规程。</w:t>
      </w:r>
    </w:p>
    <w:p w14:paraId="082B0CC5">
      <w:pPr>
        <w:pStyle w:val="108"/>
        <w:spacing w:before="156" w:after="156"/>
        <w:rPr>
          <w:rFonts w:ascii="Times New Roman"/>
        </w:rPr>
      </w:pPr>
      <w:r>
        <w:rPr>
          <w:rFonts w:ascii="Times New Roman"/>
        </w:rPr>
        <w:t>验收</w:t>
      </w:r>
    </w:p>
    <w:p w14:paraId="2703B99D">
      <w:pPr>
        <w:pStyle w:val="168"/>
        <w:rPr>
          <w:rFonts w:ascii="Times New Roman"/>
        </w:rPr>
      </w:pPr>
      <w:r>
        <w:rPr>
          <w:rFonts w:ascii="Times New Roman"/>
        </w:rPr>
        <w:t>设备安装工程质量验收前的准备工作应符合GB 50334的相关规定。</w:t>
      </w:r>
    </w:p>
    <w:p w14:paraId="2E400355">
      <w:pPr>
        <w:pStyle w:val="168"/>
        <w:rPr>
          <w:rFonts w:ascii="Times New Roman"/>
        </w:rPr>
      </w:pPr>
      <w:r>
        <w:rPr>
          <w:rFonts w:ascii="Times New Roman"/>
        </w:rPr>
        <w:t>依据进水水量和进出水水质要求，检验SS、TP、磁粉补充量等主要技术指标，检验合格后提供相关验收报告。</w:t>
      </w:r>
    </w:p>
    <w:p w14:paraId="16F1043B">
      <w:pPr>
        <w:pStyle w:val="107"/>
        <w:spacing w:before="312" w:after="312"/>
        <w:rPr>
          <w:rFonts w:ascii="Times New Roman"/>
        </w:rPr>
      </w:pPr>
      <w:bookmarkStart w:id="232" w:name="_Toc112144705"/>
      <w:bookmarkStart w:id="233" w:name="_Toc118991577"/>
      <w:bookmarkStart w:id="234" w:name="_Toc114845582"/>
      <w:bookmarkStart w:id="235" w:name="_Toc128675565"/>
      <w:bookmarkStart w:id="236" w:name="_Toc128675768"/>
      <w:bookmarkStart w:id="237" w:name="_Toc133336334"/>
      <w:bookmarkStart w:id="238" w:name="_Toc112224489"/>
      <w:bookmarkStart w:id="239" w:name="_Toc126055499"/>
      <w:bookmarkStart w:id="240" w:name="_Toc133498541"/>
      <w:bookmarkStart w:id="241" w:name="_Toc134186001"/>
      <w:bookmarkStart w:id="242" w:name="_Toc135742105"/>
      <w:bookmarkStart w:id="243" w:name="_Toc135742121"/>
      <w:bookmarkStart w:id="244" w:name="_Toc146718665"/>
      <w:bookmarkStart w:id="245" w:name="_Toc135746981"/>
      <w:bookmarkStart w:id="246" w:name="_Toc173937690"/>
      <w:r>
        <w:rPr>
          <w:rFonts w:ascii="Times New Roman"/>
        </w:rPr>
        <w:t>运行</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rFonts w:ascii="Times New Roman"/>
        </w:rPr>
        <w:t>与维护</w:t>
      </w:r>
      <w:bookmarkEnd w:id="246"/>
    </w:p>
    <w:p w14:paraId="54470E2A">
      <w:pPr>
        <w:pStyle w:val="108"/>
        <w:spacing w:before="156" w:after="156"/>
        <w:rPr>
          <w:rFonts w:ascii="Times New Roman"/>
        </w:rPr>
      </w:pPr>
      <w:r>
        <w:rPr>
          <w:rFonts w:ascii="Times New Roman"/>
        </w:rPr>
        <w:t>一般要求</w:t>
      </w:r>
    </w:p>
    <w:p w14:paraId="5478ECDD">
      <w:pPr>
        <w:pStyle w:val="168"/>
        <w:rPr>
          <w:rFonts w:ascii="Times New Roman"/>
        </w:rPr>
      </w:pPr>
      <w:r>
        <w:rPr>
          <w:rFonts w:ascii="Times New Roman"/>
        </w:rPr>
        <w:t>日常运行维护应按CJJ 60的相关规定执行。</w:t>
      </w:r>
    </w:p>
    <w:p w14:paraId="04030EBD">
      <w:pPr>
        <w:pStyle w:val="168"/>
        <w:rPr>
          <w:rFonts w:ascii="Times New Roman"/>
        </w:rPr>
      </w:pPr>
      <w:r>
        <w:rPr>
          <w:rFonts w:ascii="Times New Roman"/>
        </w:rPr>
        <w:t>应制定管理制度、岗位操作规程、安全操作规程及应急预案。</w:t>
      </w:r>
    </w:p>
    <w:p w14:paraId="75806B7D">
      <w:pPr>
        <w:pStyle w:val="168"/>
        <w:rPr>
          <w:rFonts w:ascii="Times New Roman"/>
        </w:rPr>
      </w:pPr>
      <w:r>
        <w:rPr>
          <w:rFonts w:ascii="Times New Roman"/>
        </w:rPr>
        <w:t>操作人员应严格按照操作规程进行相关操作。</w:t>
      </w:r>
    </w:p>
    <w:p w14:paraId="6A1D77AA">
      <w:pPr>
        <w:pStyle w:val="108"/>
        <w:spacing w:before="156" w:after="156"/>
        <w:rPr>
          <w:rFonts w:ascii="Times New Roman"/>
        </w:rPr>
      </w:pPr>
      <w:r>
        <w:rPr>
          <w:rFonts w:ascii="Times New Roman"/>
        </w:rPr>
        <w:t>运行要求</w:t>
      </w:r>
    </w:p>
    <w:p w14:paraId="7A1B6D8E">
      <w:pPr>
        <w:pStyle w:val="168"/>
        <w:rPr>
          <w:rFonts w:ascii="Times New Roman"/>
        </w:rPr>
      </w:pPr>
      <w:r>
        <w:rPr>
          <w:rFonts w:ascii="Times New Roman"/>
        </w:rPr>
        <w:t>根据矾花的大小、形态和沉降性能，调整药剂投加量和搅拌机运行参数。</w:t>
      </w:r>
    </w:p>
    <w:p w14:paraId="37EBBFB7">
      <w:pPr>
        <w:pStyle w:val="168"/>
        <w:rPr>
          <w:rFonts w:ascii="Times New Roman"/>
        </w:rPr>
      </w:pPr>
      <w:r>
        <w:rPr>
          <w:rFonts w:ascii="Times New Roman"/>
        </w:rPr>
        <w:t>定时检查磁粉回收管路</w:t>
      </w:r>
      <w:r>
        <w:rPr>
          <w:rFonts w:hint="eastAsia" w:ascii="Times New Roman"/>
        </w:rPr>
        <w:t>及</w:t>
      </w:r>
      <w:r>
        <w:rPr>
          <w:rFonts w:ascii="Times New Roman"/>
        </w:rPr>
        <w:t>磁粉回流管路上流量计读数。</w:t>
      </w:r>
    </w:p>
    <w:p w14:paraId="6A26A964">
      <w:pPr>
        <w:pStyle w:val="168"/>
        <w:rPr>
          <w:rFonts w:ascii="Times New Roman"/>
        </w:rPr>
      </w:pPr>
      <w:r>
        <w:rPr>
          <w:rFonts w:ascii="Times New Roman"/>
        </w:rPr>
        <w:t>污泥回流泵和磁粉回收泵的备用泵应按操作规程规定的时间间隔切换运行。</w:t>
      </w:r>
    </w:p>
    <w:p w14:paraId="683D6054">
      <w:pPr>
        <w:pStyle w:val="168"/>
        <w:rPr>
          <w:rFonts w:ascii="Times New Roman"/>
        </w:rPr>
      </w:pPr>
      <w:r>
        <w:rPr>
          <w:rFonts w:ascii="Times New Roman"/>
        </w:rPr>
        <w:t>沉淀区应配置污泥界面仪，并根据运行情况，定期冲洗斜管（板）。</w:t>
      </w:r>
    </w:p>
    <w:p w14:paraId="04EA23C5">
      <w:pPr>
        <w:pStyle w:val="168"/>
        <w:rPr>
          <w:rFonts w:ascii="Times New Roman"/>
        </w:rPr>
      </w:pPr>
      <w:r>
        <w:rPr>
          <w:rFonts w:ascii="Times New Roman"/>
        </w:rPr>
        <w:t>按运行要求做好水质检测工作，水质检测应按CJ/T 51的相关规定执行。</w:t>
      </w:r>
    </w:p>
    <w:p w14:paraId="3BDDDFF1">
      <w:pPr>
        <w:pStyle w:val="108"/>
        <w:spacing w:before="156" w:after="156"/>
        <w:rPr>
          <w:rFonts w:ascii="Times New Roman"/>
        </w:rPr>
      </w:pPr>
      <w:r>
        <w:rPr>
          <w:rFonts w:ascii="Times New Roman"/>
        </w:rPr>
        <w:t>维护要求</w:t>
      </w:r>
    </w:p>
    <w:p w14:paraId="52E2C0B0">
      <w:pPr>
        <w:pStyle w:val="168"/>
        <w:rPr>
          <w:rFonts w:ascii="Times New Roman"/>
        </w:rPr>
      </w:pPr>
      <w:r>
        <w:rPr>
          <w:rFonts w:ascii="Times New Roman"/>
        </w:rPr>
        <w:t>操作人员应严格执行设备操作规程，定时巡视设备运转是否正常，包括温升、响声、振动、电压、电流等，发现问题及时排除设备故障，更换易损部件，并做好设备维修保养和交班记录。</w:t>
      </w:r>
    </w:p>
    <w:p w14:paraId="73991C54">
      <w:pPr>
        <w:pStyle w:val="168"/>
        <w:rPr>
          <w:rFonts w:ascii="Times New Roman"/>
        </w:rPr>
      </w:pPr>
      <w:r>
        <w:rPr>
          <w:rFonts w:ascii="Times New Roman"/>
        </w:rPr>
        <w:t>应注意观测搅拌机运转是否正常，搅拌轴及叶轮有否锈蚀或损坏。</w:t>
      </w:r>
    </w:p>
    <w:p w14:paraId="2746CF03">
      <w:pPr>
        <w:pStyle w:val="168"/>
        <w:rPr>
          <w:rFonts w:ascii="Times New Roman"/>
        </w:rPr>
      </w:pPr>
      <w:r>
        <w:rPr>
          <w:rFonts w:ascii="Times New Roman"/>
        </w:rPr>
        <w:t>应注意观测计量泵运转是否正常，计量仪表显示是否正确。</w:t>
      </w:r>
    </w:p>
    <w:p w14:paraId="639CA88F">
      <w:pPr>
        <w:pStyle w:val="168"/>
        <w:rPr>
          <w:rFonts w:ascii="Times New Roman"/>
        </w:rPr>
      </w:pPr>
      <w:r>
        <w:rPr>
          <w:rFonts w:ascii="Times New Roman"/>
        </w:rPr>
        <w:t>应保持设备各运转部位的润滑状态，及时添加润滑油、除锈；发现漏油、渗油情况应及时解决。</w:t>
      </w:r>
    </w:p>
    <w:p w14:paraId="6E7040B9">
      <w:pPr>
        <w:pStyle w:val="168"/>
        <w:rPr>
          <w:rFonts w:ascii="Times New Roman"/>
        </w:rPr>
      </w:pPr>
      <w:r>
        <w:rPr>
          <w:rFonts w:ascii="Times New Roman"/>
        </w:rPr>
        <w:t>应定期检查反应池内是否有积泥现象，必要时调整隔板的间距或排泥。</w:t>
      </w:r>
    </w:p>
    <w:p w14:paraId="7FD0D226">
      <w:pPr>
        <w:pStyle w:val="168"/>
        <w:rPr>
          <w:rFonts w:ascii="Times New Roman"/>
        </w:rPr>
      </w:pPr>
      <w:r>
        <w:rPr>
          <w:rFonts w:ascii="Times New Roman"/>
        </w:rPr>
        <w:t>操作人员应每日进行巡视检查，对异常情况及时检修或安排计划检修。对设施进行全面强制性的检修，应列入年度计划。</w:t>
      </w:r>
    </w:p>
    <w:p w14:paraId="74E66B62">
      <w:pPr>
        <w:pStyle w:val="167"/>
        <w:numPr>
          <w:ilvl w:val="0"/>
          <w:numId w:val="0"/>
        </w:numPr>
        <w:rPr>
          <w:rFonts w:ascii="Times New Roman"/>
        </w:rPr>
      </w:pPr>
    </w:p>
    <w:p w14:paraId="43A900D3">
      <w:pPr>
        <w:pStyle w:val="167"/>
        <w:numPr>
          <w:ilvl w:val="0"/>
          <w:numId w:val="0"/>
        </w:numPr>
        <w:rPr>
          <w:rFonts w:ascii="Times New Roman"/>
        </w:rPr>
        <w:sectPr>
          <w:headerReference r:id="rId14" w:type="default"/>
          <w:footerReference r:id="rId16" w:type="default"/>
          <w:headerReference r:id="rId15" w:type="even"/>
          <w:footerReference r:id="rId17" w:type="even"/>
          <w:pgSz w:w="11906" w:h="16838"/>
          <w:pgMar w:top="2410" w:right="1134" w:bottom="1134" w:left="1134" w:header="1418" w:footer="1134" w:gutter="284"/>
          <w:pgNumType w:start="1"/>
          <w:cols w:space="425" w:num="1"/>
          <w:formProt w:val="0"/>
          <w:docGrid w:type="lines" w:linePitch="312" w:charSpace="0"/>
        </w:sectPr>
      </w:pPr>
    </w:p>
    <w:bookmarkEnd w:id="42"/>
    <w:p w14:paraId="44496EAA">
      <w:pPr>
        <w:pStyle w:val="201"/>
        <w:rPr>
          <w:rFonts w:ascii="Times New Roman" w:hAnsi="Times New Roman"/>
        </w:rPr>
      </w:pPr>
      <w:bookmarkStart w:id="247" w:name="BookMark5"/>
    </w:p>
    <w:p w14:paraId="787DF9E7">
      <w:pPr>
        <w:pStyle w:val="202"/>
        <w:rPr>
          <w:rFonts w:ascii="Times New Roman"/>
        </w:rPr>
      </w:pPr>
    </w:p>
    <w:p w14:paraId="6CAF7F1D">
      <w:pPr>
        <w:pStyle w:val="79"/>
        <w:spacing w:before="78" w:after="156"/>
        <w:rPr>
          <w:rFonts w:ascii="Times New Roman"/>
        </w:rPr>
      </w:pPr>
      <w:r>
        <w:rPr>
          <w:rFonts w:ascii="Times New Roman"/>
        </w:rPr>
        <w:br w:type="textWrapping"/>
      </w:r>
      <w:bookmarkStart w:id="248" w:name="_Toc135742108"/>
      <w:bookmarkStart w:id="249" w:name="_Toc128675771"/>
      <w:bookmarkStart w:id="250" w:name="_Toc133336337"/>
      <w:bookmarkStart w:id="251" w:name="_Toc135742122"/>
      <w:bookmarkStart w:id="252" w:name="_Toc173937691"/>
      <w:bookmarkStart w:id="253" w:name="_Toc134186004"/>
      <w:bookmarkStart w:id="254" w:name="_Toc133498544"/>
      <w:bookmarkStart w:id="255" w:name="_Toc146718666"/>
      <w:bookmarkStart w:id="256" w:name="_Toc135746982"/>
      <w:bookmarkStart w:id="257" w:name="_Toc112144708"/>
      <w:bookmarkStart w:id="258" w:name="_Toc118991580"/>
      <w:bookmarkStart w:id="259" w:name="_Toc114845585"/>
      <w:bookmarkStart w:id="260" w:name="_Toc112224492"/>
      <w:bookmarkStart w:id="261" w:name="_Toc126055502"/>
      <w:bookmarkStart w:id="262" w:name="_Toc128675568"/>
      <w:r>
        <w:rPr>
          <w:rFonts w:ascii="Times New Roman"/>
        </w:rPr>
        <w:t>（资料性）</w:t>
      </w:r>
      <w:r>
        <w:rPr>
          <w:rFonts w:ascii="Times New Roman"/>
        </w:rPr>
        <w:br w:type="textWrapping"/>
      </w:r>
      <w:r>
        <w:rPr>
          <w:rFonts w:ascii="Times New Roman"/>
        </w:rPr>
        <w:t>各单元结构示意图</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81ED286">
      <w:pPr>
        <w:pStyle w:val="81"/>
        <w:spacing w:before="156" w:after="156"/>
        <w:rPr>
          <w:rFonts w:ascii="Times New Roman"/>
        </w:rPr>
      </w:pPr>
      <w:bookmarkStart w:id="263" w:name="_Toc114845586"/>
      <w:bookmarkStart w:id="264" w:name="_Toc128675569"/>
      <w:bookmarkStart w:id="265" w:name="_Toc134186005"/>
      <w:bookmarkStart w:id="266" w:name="_Toc133336338"/>
      <w:bookmarkStart w:id="267" w:name="_Toc112224493"/>
      <w:bookmarkStart w:id="268" w:name="_Toc135742109"/>
      <w:bookmarkStart w:id="269" w:name="_Toc126055503"/>
      <w:bookmarkStart w:id="270" w:name="_Toc133498545"/>
      <w:bookmarkStart w:id="271" w:name="_Toc118991581"/>
      <w:bookmarkStart w:id="272" w:name="_Toc112144709"/>
      <w:bookmarkStart w:id="273" w:name="_Toc128675772"/>
      <w:r>
        <w:rPr>
          <w:rFonts w:ascii="Times New Roman"/>
        </w:rPr>
        <w:t>混凝反应单元</w:t>
      </w:r>
      <w:bookmarkEnd w:id="263"/>
      <w:bookmarkEnd w:id="264"/>
      <w:bookmarkEnd w:id="265"/>
      <w:bookmarkEnd w:id="266"/>
      <w:bookmarkEnd w:id="267"/>
      <w:bookmarkEnd w:id="268"/>
      <w:bookmarkEnd w:id="269"/>
      <w:bookmarkEnd w:id="270"/>
      <w:bookmarkEnd w:id="271"/>
      <w:bookmarkEnd w:id="272"/>
      <w:bookmarkEnd w:id="273"/>
    </w:p>
    <w:p w14:paraId="25CA5800">
      <w:pPr>
        <w:pStyle w:val="59"/>
        <w:ind w:firstLine="420"/>
        <w:jc w:val="center"/>
        <w:rPr>
          <w:rFonts w:ascii="Times New Roman"/>
        </w:rPr>
      </w:pPr>
      <w:r>
        <w:rPr>
          <w:rFonts w:ascii="Times New Roman"/>
        </w:rPr>
        <w:object>
          <v:shape id="_x0000_i1026" o:spt="75" type="#_x0000_t75" style="height:209.5pt;width:557.5pt;" o:ole="t" filled="f" o:preferrelative="t" stroked="f" coordsize="21600,21600">
            <v:path/>
            <v:fill on="f" focussize="0,0"/>
            <v:stroke on="f" joinstyle="miter"/>
            <v:imagedata r:id="rId27" o:title=""/>
            <o:lock v:ext="edit" aspectratio="t"/>
            <w10:wrap type="none"/>
            <w10:anchorlock/>
          </v:shape>
          <o:OLEObject Type="Embed" ProgID="Visio.Drawing.15" ShapeID="_x0000_i1026" DrawAspect="Content" ObjectID="_1468075726" r:id="rId26">
            <o:LockedField>false</o:LockedField>
          </o:OLEObject>
        </w:object>
      </w:r>
    </w:p>
    <w:p w14:paraId="272541AF">
      <w:pPr>
        <w:pStyle w:val="86"/>
        <w:spacing w:before="156" w:after="156"/>
        <w:rPr>
          <w:rFonts w:ascii="Times New Roman"/>
        </w:rPr>
      </w:pPr>
      <w:bookmarkStart w:id="274" w:name="_Hlk174104231"/>
      <w:r>
        <w:rPr>
          <w:rFonts w:ascii="Times New Roman"/>
        </w:rPr>
        <w:t>磁混凝沉淀水处理反应池结构示意图</w:t>
      </w:r>
    </w:p>
    <w:bookmarkEnd w:id="274"/>
    <w:p w14:paraId="14F5E0AD">
      <w:pPr>
        <w:pStyle w:val="81"/>
        <w:spacing w:before="156" w:after="156"/>
        <w:rPr>
          <w:rFonts w:ascii="Times New Roman"/>
        </w:rPr>
      </w:pPr>
      <w:bookmarkStart w:id="275" w:name="_Toc126055504"/>
      <w:bookmarkStart w:id="276" w:name="_Toc128675570"/>
      <w:bookmarkStart w:id="277" w:name="_Toc135742110"/>
      <w:bookmarkStart w:id="278" w:name="_Toc134186006"/>
      <w:bookmarkStart w:id="279" w:name="_Toc128675773"/>
      <w:bookmarkStart w:id="280" w:name="_Toc133336339"/>
      <w:bookmarkStart w:id="281" w:name="_Toc118991582"/>
      <w:bookmarkStart w:id="282" w:name="_Toc133498546"/>
      <w:bookmarkStart w:id="283" w:name="_Toc112144710"/>
      <w:bookmarkStart w:id="284" w:name="_Toc114845587"/>
      <w:bookmarkStart w:id="285" w:name="_Toc112224494"/>
      <w:r>
        <w:rPr>
          <w:rFonts w:ascii="Times New Roman"/>
        </w:rPr>
        <w:t>沉淀单元</w:t>
      </w:r>
      <w:bookmarkEnd w:id="275"/>
      <w:bookmarkEnd w:id="276"/>
      <w:bookmarkEnd w:id="277"/>
      <w:bookmarkEnd w:id="278"/>
      <w:bookmarkEnd w:id="279"/>
      <w:bookmarkEnd w:id="280"/>
      <w:bookmarkEnd w:id="281"/>
      <w:bookmarkEnd w:id="282"/>
      <w:bookmarkEnd w:id="283"/>
      <w:bookmarkEnd w:id="284"/>
      <w:bookmarkEnd w:id="285"/>
    </w:p>
    <w:p w14:paraId="4EB884A3">
      <w:pPr>
        <w:pStyle w:val="59"/>
        <w:ind w:firstLine="360"/>
        <w:jc w:val="center"/>
        <w:rPr>
          <w:rFonts w:ascii="Times New Roman"/>
        </w:rPr>
      </w:pPr>
      <w:r>
        <w:rPr>
          <w:rFonts w:ascii="Times New Roman"/>
          <w:sz w:val="18"/>
          <w:szCs w:val="18"/>
        </w:rPr>
        <w:object>
          <v:shape id="_x0000_i1027" o:spt="75" type="#_x0000_t75" style="height:210.5pt;width:317pt;" o:ole="t" filled="f" o:preferrelative="t" stroked="f" coordsize="21600,21600">
            <v:path/>
            <v:fill on="f" focussize="0,0"/>
            <v:stroke on="f" joinstyle="miter"/>
            <v:imagedata r:id="rId29" o:title=""/>
            <o:lock v:ext="edit" aspectratio="t"/>
            <w10:wrap type="none"/>
            <w10:anchorlock/>
          </v:shape>
          <o:OLEObject Type="Embed" ProgID="Visio.Drawing.15" ShapeID="_x0000_i1027" DrawAspect="Content" ObjectID="_1468075727" r:id="rId28">
            <o:LockedField>false</o:LockedField>
          </o:OLEObject>
        </w:object>
      </w:r>
    </w:p>
    <w:p w14:paraId="540EEF96">
      <w:pPr>
        <w:pStyle w:val="86"/>
        <w:spacing w:before="156" w:after="156"/>
        <w:rPr>
          <w:rFonts w:ascii="Times New Roman"/>
        </w:rPr>
      </w:pPr>
      <w:r>
        <w:rPr>
          <w:rFonts w:ascii="Times New Roman"/>
        </w:rPr>
        <w:t>斜管（板）沉淀池</w:t>
      </w:r>
      <w:r>
        <w:rPr>
          <w:rFonts w:hint="eastAsia" w:ascii="Times New Roman"/>
        </w:rPr>
        <w:t>结构</w:t>
      </w:r>
      <w:r>
        <w:rPr>
          <w:rFonts w:ascii="Times New Roman"/>
        </w:rPr>
        <w:t>示意图</w:t>
      </w:r>
    </w:p>
    <w:p w14:paraId="6F932BD1">
      <w:pPr>
        <w:pStyle w:val="81"/>
        <w:spacing w:before="156" w:after="156"/>
        <w:rPr>
          <w:rFonts w:ascii="Times New Roman"/>
        </w:rPr>
      </w:pPr>
      <w:bookmarkStart w:id="286" w:name="_Toc128675774"/>
      <w:bookmarkStart w:id="287" w:name="_Toc133336340"/>
      <w:bookmarkStart w:id="288" w:name="_Toc133498547"/>
      <w:bookmarkStart w:id="289" w:name="_Toc134186007"/>
      <w:bookmarkStart w:id="290" w:name="_Toc135742111"/>
      <w:r>
        <w:rPr>
          <w:rFonts w:ascii="Times New Roman"/>
        </w:rPr>
        <w:t>药剂投加单元</w:t>
      </w:r>
      <w:bookmarkEnd w:id="286"/>
      <w:bookmarkEnd w:id="287"/>
      <w:bookmarkEnd w:id="288"/>
      <w:bookmarkEnd w:id="289"/>
      <w:bookmarkEnd w:id="290"/>
    </w:p>
    <w:p w14:paraId="145C8A3F">
      <w:pPr>
        <w:pStyle w:val="59"/>
        <w:ind w:firstLine="420"/>
        <w:jc w:val="center"/>
        <w:rPr>
          <w:rFonts w:ascii="Times New Roman"/>
        </w:rPr>
      </w:pPr>
      <w:r>
        <w:rPr>
          <w:rFonts w:ascii="Times New Roman"/>
        </w:rPr>
        <w:object>
          <v:shape id="_x0000_i1028" o:spt="75" type="#_x0000_t75" style="height:224pt;width:269.5pt;" o:ole="t" filled="f" o:preferrelative="t" stroked="f" coordsize="21600,21600">
            <v:path/>
            <v:fill on="f" focussize="0,0"/>
            <v:stroke on="f" joinstyle="miter"/>
            <v:imagedata r:id="rId31" o:title=""/>
            <o:lock v:ext="edit" aspectratio="t"/>
            <w10:wrap type="none"/>
            <w10:anchorlock/>
          </v:shape>
          <o:OLEObject Type="Embed" ProgID="Visio.Drawing.15" ShapeID="_x0000_i1028" DrawAspect="Content" ObjectID="_1468075728" r:id="rId30">
            <o:LockedField>false</o:LockedField>
          </o:OLEObject>
        </w:object>
      </w:r>
    </w:p>
    <w:p w14:paraId="2CC9A7F2">
      <w:pPr>
        <w:pStyle w:val="86"/>
        <w:spacing w:before="156" w:after="156"/>
        <w:rPr>
          <w:rFonts w:ascii="Times New Roman"/>
        </w:rPr>
      </w:pPr>
      <w:r>
        <w:rPr>
          <w:rFonts w:hint="eastAsia" w:ascii="Times New Roman"/>
        </w:rPr>
        <w:t>加药系统</w:t>
      </w:r>
      <w:r>
        <w:rPr>
          <w:rFonts w:ascii="Times New Roman"/>
        </w:rPr>
        <w:t>示意图</w:t>
      </w:r>
    </w:p>
    <w:bookmarkEnd w:id="247"/>
    <w:p w14:paraId="73BC1CEB">
      <w:pPr>
        <w:pStyle w:val="59"/>
        <w:ind w:firstLine="420"/>
        <w:rPr>
          <w:rFonts w:ascii="Times New Roman"/>
        </w:rPr>
        <w:sectPr>
          <w:headerReference r:id="rId18" w:type="default"/>
          <w:footerReference r:id="rId20" w:type="default"/>
          <w:headerReference r:id="rId19" w:type="even"/>
          <w:footerReference r:id="rId21" w:type="even"/>
          <w:pgSz w:w="11906" w:h="16838"/>
          <w:pgMar w:top="2410" w:right="1134" w:bottom="1134" w:left="1134" w:header="1418" w:footer="1134" w:gutter="284"/>
          <w:cols w:space="425" w:num="1"/>
          <w:formProt w:val="0"/>
          <w:docGrid w:type="lines" w:linePitch="312" w:charSpace="0"/>
        </w:sectPr>
      </w:pPr>
      <w:bookmarkStart w:id="291" w:name="BookMark6"/>
    </w:p>
    <w:p w14:paraId="2616A2BA">
      <w:pPr>
        <w:pStyle w:val="66"/>
        <w:spacing w:before="124" w:after="156"/>
        <w:rPr>
          <w:rFonts w:ascii="Times New Roman" w:hAnsi="Times New Roman"/>
        </w:rPr>
      </w:pPr>
      <w:bookmarkStart w:id="292" w:name="_Toc173937692"/>
      <w:r>
        <w:rPr>
          <w:rFonts w:ascii="Times New Roman" w:hAnsi="Times New Roman"/>
          <w:spacing w:val="105"/>
        </w:rPr>
        <w:t>参考文</w:t>
      </w:r>
      <w:r>
        <w:rPr>
          <w:rFonts w:ascii="Times New Roman" w:hAnsi="Times New Roman"/>
        </w:rPr>
        <w:t>献</w:t>
      </w:r>
      <w:bookmarkEnd w:id="292"/>
    </w:p>
    <w:p w14:paraId="2E87AAEA">
      <w:pPr>
        <w:pStyle w:val="59"/>
        <w:ind w:firstLine="420"/>
        <w:rPr>
          <w:rFonts w:ascii="Times New Roman"/>
        </w:rPr>
      </w:pPr>
      <w:r>
        <w:rPr>
          <w:rFonts w:hint="eastAsia" w:ascii="Times New Roman"/>
        </w:rPr>
        <w:t xml:space="preserve">[1]  </w:t>
      </w:r>
      <w:r>
        <w:rPr>
          <w:rFonts w:ascii="Times New Roman"/>
        </w:rPr>
        <w:t>HJ 2006  污水混凝与絮凝处理工程技术规范</w:t>
      </w:r>
    </w:p>
    <w:p w14:paraId="2C7C40B0">
      <w:pPr>
        <w:pStyle w:val="59"/>
        <w:ind w:firstLine="420"/>
        <w:rPr>
          <w:rFonts w:ascii="Times New Roman"/>
        </w:rPr>
      </w:pPr>
    </w:p>
    <w:p w14:paraId="44043108">
      <w:pPr>
        <w:pStyle w:val="59"/>
        <w:ind w:firstLine="420"/>
        <w:rPr>
          <w:rFonts w:ascii="Times New Roman"/>
        </w:rPr>
      </w:pPr>
    </w:p>
    <w:p w14:paraId="09E0E8A8">
      <w:pPr>
        <w:pStyle w:val="59"/>
        <w:ind w:firstLine="420"/>
        <w:rPr>
          <w:rFonts w:ascii="Times New Roman"/>
        </w:rPr>
      </w:pPr>
    </w:p>
    <w:bookmarkEnd w:id="291"/>
    <w:p w14:paraId="1319549B">
      <w:pPr>
        <w:pStyle w:val="59"/>
        <w:ind w:firstLine="420"/>
        <w:rPr>
          <w:rFonts w:ascii="Times New Roman"/>
        </w:rPr>
      </w:pPr>
    </w:p>
    <w:p w14:paraId="41574BAE">
      <w:pPr>
        <w:pStyle w:val="59"/>
        <w:ind w:firstLine="0" w:firstLineChars="0"/>
        <w:jc w:val="center"/>
      </w:pPr>
      <w:bookmarkStart w:id="293" w:name="BookMark8"/>
      <w:r>
        <w:rPr>
          <w:rFonts w:hint="eastAsia"/>
        </w:rPr>
        <w:drawing>
          <wp:inline distT="0" distB="0" distL="0" distR="0">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3"/>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B308">
    <w:pPr>
      <w:pStyle w:val="18"/>
    </w:pPr>
    <w:r>
      <w:fldChar w:fldCharType="begin"/>
    </w:r>
    <w:r>
      <w:instrText xml:space="preserve">PAGE   \* MERGEFORMAT</w:instrText>
    </w:r>
    <w:r>
      <w:fldChar w:fldCharType="separate"/>
    </w:r>
    <w:r>
      <w:rPr>
        <w:lang w:val="zh-CN"/>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D53B9">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FD262">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698D7">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2D546">
    <w:pPr>
      <w:pStyle w:val="55"/>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0EB9">
    <w:pPr>
      <w:pStyle w:val="54"/>
    </w:pPr>
    <w:r>
      <w:fldChar w:fldCharType="begin"/>
    </w:r>
    <w:r>
      <w:instrText xml:space="preserve"> PAGE   \* MERGEFORMAT \* MERGEFORMAT </w:instrText>
    </w:r>
    <w:r>
      <w:fldChar w:fldCharType="separate"/>
    </w:r>
    <w:r>
      <w:t>8</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6C5">
    <w:pPr>
      <w:pStyle w:val="55"/>
    </w:pPr>
    <w:r>
      <w:fldChar w:fldCharType="begin"/>
    </w:r>
    <w:r>
      <w:instrText xml:space="preserve">PAGE   \* MERGEFORMAT</w:instrText>
    </w:r>
    <w:r>
      <w:fldChar w:fldCharType="separate"/>
    </w:r>
    <w:r>
      <w:rPr>
        <w:lang w:val="zh-CN"/>
      </w:rPr>
      <w:t>11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805B6">
    <w:pPr>
      <w:pStyle w:val="54"/>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FCD25">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36311">
    <w:pPr>
      <w:pStyle w:val="65"/>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DF1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AF85">
    <w:pPr>
      <w:pStyle w:val="64"/>
      <w:rPr>
        <w:rFonts w:hint="eastAsia"/>
      </w:rPr>
    </w:pPr>
    <w:r>
      <w:t>DB 32/T</w:t>
    </w:r>
    <w:r>
      <w:rPr>
        <w:rFonts w:hint="eastAsia"/>
      </w:rPr>
      <w:t>□</w:t>
    </w:r>
    <w:r>
      <w:t>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7C75F">
    <w:pPr>
      <w:pStyle w:val="65"/>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11568">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8F2FB">
    <w:pPr>
      <w:pStyle w:val="65"/>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76A9">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8181F">
    <w:pPr>
      <w:pStyle w:val="65"/>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710"/>
        </w:tabs>
        <w:ind w:left="710" w:hanging="426"/>
      </w:pPr>
      <w:rPr>
        <w:rFonts w:hint="default" w:ascii="Times New Roman" w:hAnsi="Times New Roman" w:eastAsia="宋体" w:cs="Times New Roman"/>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3969"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284"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cvtt4ppmiktokyVVcxxKWuhBuiYeQh5+M8dzDEYcsd4lbbLryCFlZkm0tPQS6AuYYyeWHkcaUTtFQk0S0SNhEQ==" w:salt="Me0hNGJKjymlTMZounlY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1633E8"/>
    <w:rsid w:val="0000040A"/>
    <w:rsid w:val="0000045C"/>
    <w:rsid w:val="00000A94"/>
    <w:rsid w:val="00001972"/>
    <w:rsid w:val="00001A65"/>
    <w:rsid w:val="00001D9A"/>
    <w:rsid w:val="00002662"/>
    <w:rsid w:val="000027F7"/>
    <w:rsid w:val="00002D59"/>
    <w:rsid w:val="000047EB"/>
    <w:rsid w:val="0000650E"/>
    <w:rsid w:val="00007B3A"/>
    <w:rsid w:val="000107E0"/>
    <w:rsid w:val="00010F9D"/>
    <w:rsid w:val="00011766"/>
    <w:rsid w:val="00011933"/>
    <w:rsid w:val="00011FDE"/>
    <w:rsid w:val="000127F1"/>
    <w:rsid w:val="00012FFD"/>
    <w:rsid w:val="00013370"/>
    <w:rsid w:val="00013ECA"/>
    <w:rsid w:val="00014162"/>
    <w:rsid w:val="00014340"/>
    <w:rsid w:val="00014AD4"/>
    <w:rsid w:val="00016146"/>
    <w:rsid w:val="00016A9C"/>
    <w:rsid w:val="00016EC6"/>
    <w:rsid w:val="00020535"/>
    <w:rsid w:val="00021DB8"/>
    <w:rsid w:val="00022184"/>
    <w:rsid w:val="00022762"/>
    <w:rsid w:val="000228F9"/>
    <w:rsid w:val="0002384D"/>
    <w:rsid w:val="000238E0"/>
    <w:rsid w:val="00023EDC"/>
    <w:rsid w:val="000249DB"/>
    <w:rsid w:val="00024A31"/>
    <w:rsid w:val="0002595E"/>
    <w:rsid w:val="00025AE7"/>
    <w:rsid w:val="000264E8"/>
    <w:rsid w:val="00026780"/>
    <w:rsid w:val="00027EE5"/>
    <w:rsid w:val="00027F6F"/>
    <w:rsid w:val="000303C3"/>
    <w:rsid w:val="00030E09"/>
    <w:rsid w:val="00033103"/>
    <w:rsid w:val="000331C3"/>
    <w:rsid w:val="000331D3"/>
    <w:rsid w:val="000346A5"/>
    <w:rsid w:val="000359C3"/>
    <w:rsid w:val="00035A7D"/>
    <w:rsid w:val="0003603B"/>
    <w:rsid w:val="000365ED"/>
    <w:rsid w:val="00036684"/>
    <w:rsid w:val="000415D5"/>
    <w:rsid w:val="0004249A"/>
    <w:rsid w:val="00043282"/>
    <w:rsid w:val="00043FE5"/>
    <w:rsid w:val="00044286"/>
    <w:rsid w:val="00045024"/>
    <w:rsid w:val="00047F28"/>
    <w:rsid w:val="000503AA"/>
    <w:rsid w:val="000503EF"/>
    <w:rsid w:val="0005056D"/>
    <w:rsid w:val="000506A1"/>
    <w:rsid w:val="000515DD"/>
    <w:rsid w:val="00051E2A"/>
    <w:rsid w:val="000521D9"/>
    <w:rsid w:val="0005265A"/>
    <w:rsid w:val="00052CC7"/>
    <w:rsid w:val="0005317F"/>
    <w:rsid w:val="000539DD"/>
    <w:rsid w:val="00053BD3"/>
    <w:rsid w:val="00053C8C"/>
    <w:rsid w:val="00055581"/>
    <w:rsid w:val="000556ED"/>
    <w:rsid w:val="00055FE2"/>
    <w:rsid w:val="0005616F"/>
    <w:rsid w:val="00056F66"/>
    <w:rsid w:val="00060C2E"/>
    <w:rsid w:val="00061033"/>
    <w:rsid w:val="000619E9"/>
    <w:rsid w:val="000622D4"/>
    <w:rsid w:val="0006357D"/>
    <w:rsid w:val="00064178"/>
    <w:rsid w:val="00067F1E"/>
    <w:rsid w:val="0007019D"/>
    <w:rsid w:val="00071CC0"/>
    <w:rsid w:val="00071CF9"/>
    <w:rsid w:val="00073C8C"/>
    <w:rsid w:val="00075BE5"/>
    <w:rsid w:val="000768CC"/>
    <w:rsid w:val="00076EC6"/>
    <w:rsid w:val="00077B64"/>
    <w:rsid w:val="00080A1C"/>
    <w:rsid w:val="00081BE5"/>
    <w:rsid w:val="00082317"/>
    <w:rsid w:val="000835B5"/>
    <w:rsid w:val="00083D2C"/>
    <w:rsid w:val="00086AA1"/>
    <w:rsid w:val="00086C41"/>
    <w:rsid w:val="00087A77"/>
    <w:rsid w:val="00087AF7"/>
    <w:rsid w:val="0009078F"/>
    <w:rsid w:val="00090CA6"/>
    <w:rsid w:val="00092B8A"/>
    <w:rsid w:val="00092FB0"/>
    <w:rsid w:val="000934C5"/>
    <w:rsid w:val="00093580"/>
    <w:rsid w:val="0009366C"/>
    <w:rsid w:val="00093D25"/>
    <w:rsid w:val="00093DAB"/>
    <w:rsid w:val="00094D73"/>
    <w:rsid w:val="000962EC"/>
    <w:rsid w:val="00096D63"/>
    <w:rsid w:val="000970AB"/>
    <w:rsid w:val="000A0626"/>
    <w:rsid w:val="000A0B60"/>
    <w:rsid w:val="000A0EB8"/>
    <w:rsid w:val="000A19FC"/>
    <w:rsid w:val="000A1B4F"/>
    <w:rsid w:val="000A296B"/>
    <w:rsid w:val="000A2D70"/>
    <w:rsid w:val="000A3467"/>
    <w:rsid w:val="000A46E1"/>
    <w:rsid w:val="000A4CCC"/>
    <w:rsid w:val="000A531B"/>
    <w:rsid w:val="000A7311"/>
    <w:rsid w:val="000B05EE"/>
    <w:rsid w:val="000B060F"/>
    <w:rsid w:val="000B1592"/>
    <w:rsid w:val="000B1605"/>
    <w:rsid w:val="000B1FF2"/>
    <w:rsid w:val="000B2291"/>
    <w:rsid w:val="000B3CDA"/>
    <w:rsid w:val="000B3E2E"/>
    <w:rsid w:val="000B4612"/>
    <w:rsid w:val="000B6A0B"/>
    <w:rsid w:val="000C0F6C"/>
    <w:rsid w:val="000C11DB"/>
    <w:rsid w:val="000C1492"/>
    <w:rsid w:val="000C1EFD"/>
    <w:rsid w:val="000C246B"/>
    <w:rsid w:val="000C2FBD"/>
    <w:rsid w:val="000C3D93"/>
    <w:rsid w:val="000C4B41"/>
    <w:rsid w:val="000C57D6"/>
    <w:rsid w:val="000C6362"/>
    <w:rsid w:val="000C680E"/>
    <w:rsid w:val="000C71C2"/>
    <w:rsid w:val="000C7666"/>
    <w:rsid w:val="000C7C42"/>
    <w:rsid w:val="000D0A97"/>
    <w:rsid w:val="000D0A9C"/>
    <w:rsid w:val="000D10AF"/>
    <w:rsid w:val="000D1795"/>
    <w:rsid w:val="000D329A"/>
    <w:rsid w:val="000D329E"/>
    <w:rsid w:val="000D3ECD"/>
    <w:rsid w:val="000D4B9C"/>
    <w:rsid w:val="000D4EB6"/>
    <w:rsid w:val="000D5E13"/>
    <w:rsid w:val="000D6A51"/>
    <w:rsid w:val="000D753B"/>
    <w:rsid w:val="000D7673"/>
    <w:rsid w:val="000D768B"/>
    <w:rsid w:val="000E0C4E"/>
    <w:rsid w:val="000E0EB0"/>
    <w:rsid w:val="000E1E76"/>
    <w:rsid w:val="000E3C19"/>
    <w:rsid w:val="000E4C9E"/>
    <w:rsid w:val="000E517D"/>
    <w:rsid w:val="000E6991"/>
    <w:rsid w:val="000E6D68"/>
    <w:rsid w:val="000E6FD7"/>
    <w:rsid w:val="000E747A"/>
    <w:rsid w:val="000E7562"/>
    <w:rsid w:val="000F01A2"/>
    <w:rsid w:val="000F06E1"/>
    <w:rsid w:val="000F0E3C"/>
    <w:rsid w:val="000F1585"/>
    <w:rsid w:val="000F19D5"/>
    <w:rsid w:val="000F2623"/>
    <w:rsid w:val="000F3581"/>
    <w:rsid w:val="000F48E3"/>
    <w:rsid w:val="000F4AEA"/>
    <w:rsid w:val="000F4E0E"/>
    <w:rsid w:val="000F633F"/>
    <w:rsid w:val="000F67E9"/>
    <w:rsid w:val="000F6E1D"/>
    <w:rsid w:val="000F78EB"/>
    <w:rsid w:val="0010094E"/>
    <w:rsid w:val="001011EF"/>
    <w:rsid w:val="00104926"/>
    <w:rsid w:val="001058D3"/>
    <w:rsid w:val="00105970"/>
    <w:rsid w:val="001079A6"/>
    <w:rsid w:val="00107BE7"/>
    <w:rsid w:val="00110B02"/>
    <w:rsid w:val="00112068"/>
    <w:rsid w:val="001128E8"/>
    <w:rsid w:val="00112BFB"/>
    <w:rsid w:val="00113A7D"/>
    <w:rsid w:val="00113AE4"/>
    <w:rsid w:val="00113B1E"/>
    <w:rsid w:val="00115B83"/>
    <w:rsid w:val="001160F4"/>
    <w:rsid w:val="00116620"/>
    <w:rsid w:val="0011711C"/>
    <w:rsid w:val="0012059C"/>
    <w:rsid w:val="001216B6"/>
    <w:rsid w:val="00123452"/>
    <w:rsid w:val="00124E4F"/>
    <w:rsid w:val="001253B2"/>
    <w:rsid w:val="001260B7"/>
    <w:rsid w:val="0012615E"/>
    <w:rsid w:val="001265CB"/>
    <w:rsid w:val="00131BD0"/>
    <w:rsid w:val="001321C6"/>
    <w:rsid w:val="001325C4"/>
    <w:rsid w:val="00132BDC"/>
    <w:rsid w:val="00133010"/>
    <w:rsid w:val="001338EE"/>
    <w:rsid w:val="00133AAE"/>
    <w:rsid w:val="001350F7"/>
    <w:rsid w:val="00135323"/>
    <w:rsid w:val="001356C4"/>
    <w:rsid w:val="00135E7D"/>
    <w:rsid w:val="001376FB"/>
    <w:rsid w:val="0013777A"/>
    <w:rsid w:val="00137CFA"/>
    <w:rsid w:val="00137E48"/>
    <w:rsid w:val="001403D8"/>
    <w:rsid w:val="00140662"/>
    <w:rsid w:val="00141114"/>
    <w:rsid w:val="00142969"/>
    <w:rsid w:val="00142A0B"/>
    <w:rsid w:val="00143C7F"/>
    <w:rsid w:val="00143FC9"/>
    <w:rsid w:val="001446C2"/>
    <w:rsid w:val="001457E7"/>
    <w:rsid w:val="00145D9D"/>
    <w:rsid w:val="00146388"/>
    <w:rsid w:val="00147195"/>
    <w:rsid w:val="0015272B"/>
    <w:rsid w:val="001529E5"/>
    <w:rsid w:val="00153C7E"/>
    <w:rsid w:val="001543B5"/>
    <w:rsid w:val="00156B25"/>
    <w:rsid w:val="00156E1A"/>
    <w:rsid w:val="001574A7"/>
    <w:rsid w:val="00157894"/>
    <w:rsid w:val="00157B55"/>
    <w:rsid w:val="001613D0"/>
    <w:rsid w:val="00161842"/>
    <w:rsid w:val="00161F68"/>
    <w:rsid w:val="00162BD5"/>
    <w:rsid w:val="001633E8"/>
    <w:rsid w:val="001642FA"/>
    <w:rsid w:val="001649EB"/>
    <w:rsid w:val="00164BAF"/>
    <w:rsid w:val="00164FA8"/>
    <w:rsid w:val="00165065"/>
    <w:rsid w:val="00165434"/>
    <w:rsid w:val="0016580B"/>
    <w:rsid w:val="00165F49"/>
    <w:rsid w:val="00166B88"/>
    <w:rsid w:val="0016770A"/>
    <w:rsid w:val="00170392"/>
    <w:rsid w:val="00170804"/>
    <w:rsid w:val="001708E9"/>
    <w:rsid w:val="00171B91"/>
    <w:rsid w:val="0017340B"/>
    <w:rsid w:val="00173FB1"/>
    <w:rsid w:val="00175538"/>
    <w:rsid w:val="0017571B"/>
    <w:rsid w:val="00176DFD"/>
    <w:rsid w:val="00180817"/>
    <w:rsid w:val="00181A1B"/>
    <w:rsid w:val="00182136"/>
    <w:rsid w:val="00183F76"/>
    <w:rsid w:val="001852C9"/>
    <w:rsid w:val="00190087"/>
    <w:rsid w:val="001910AC"/>
    <w:rsid w:val="001913C4"/>
    <w:rsid w:val="00191F07"/>
    <w:rsid w:val="001927A6"/>
    <w:rsid w:val="0019348F"/>
    <w:rsid w:val="00193A07"/>
    <w:rsid w:val="00194C95"/>
    <w:rsid w:val="00194D34"/>
    <w:rsid w:val="00195C34"/>
    <w:rsid w:val="00195E7F"/>
    <w:rsid w:val="00196CCD"/>
    <w:rsid w:val="00196EF5"/>
    <w:rsid w:val="001A05A1"/>
    <w:rsid w:val="001A1A53"/>
    <w:rsid w:val="001A234A"/>
    <w:rsid w:val="001A357E"/>
    <w:rsid w:val="001A3C66"/>
    <w:rsid w:val="001A4CF3"/>
    <w:rsid w:val="001B0393"/>
    <w:rsid w:val="001B06E8"/>
    <w:rsid w:val="001B1844"/>
    <w:rsid w:val="001B4B60"/>
    <w:rsid w:val="001B56D9"/>
    <w:rsid w:val="001B708B"/>
    <w:rsid w:val="001B71D0"/>
    <w:rsid w:val="001B71EE"/>
    <w:rsid w:val="001C04A8"/>
    <w:rsid w:val="001C277F"/>
    <w:rsid w:val="001C2C03"/>
    <w:rsid w:val="001C42F7"/>
    <w:rsid w:val="001C49E5"/>
    <w:rsid w:val="001C4BFA"/>
    <w:rsid w:val="001C5805"/>
    <w:rsid w:val="001C680C"/>
    <w:rsid w:val="001C6D7A"/>
    <w:rsid w:val="001C6DF1"/>
    <w:rsid w:val="001C7FEA"/>
    <w:rsid w:val="001D0499"/>
    <w:rsid w:val="001D095B"/>
    <w:rsid w:val="001D0BBE"/>
    <w:rsid w:val="001D0ED4"/>
    <w:rsid w:val="001D0F06"/>
    <w:rsid w:val="001D1EDB"/>
    <w:rsid w:val="001D212F"/>
    <w:rsid w:val="001D29D7"/>
    <w:rsid w:val="001D2DE7"/>
    <w:rsid w:val="001D35B1"/>
    <w:rsid w:val="001D37CB"/>
    <w:rsid w:val="001D411C"/>
    <w:rsid w:val="001D5B61"/>
    <w:rsid w:val="001E1B6A"/>
    <w:rsid w:val="001E223E"/>
    <w:rsid w:val="001E2484"/>
    <w:rsid w:val="001E3CC4"/>
    <w:rsid w:val="001E4882"/>
    <w:rsid w:val="001E4894"/>
    <w:rsid w:val="001E4E1B"/>
    <w:rsid w:val="001E68F5"/>
    <w:rsid w:val="001E73AB"/>
    <w:rsid w:val="001E75CA"/>
    <w:rsid w:val="001F092D"/>
    <w:rsid w:val="001F143A"/>
    <w:rsid w:val="001F1605"/>
    <w:rsid w:val="001F2508"/>
    <w:rsid w:val="001F3B33"/>
    <w:rsid w:val="001F4816"/>
    <w:rsid w:val="001F4EE9"/>
    <w:rsid w:val="001F5A90"/>
    <w:rsid w:val="001F6354"/>
    <w:rsid w:val="001F69B4"/>
    <w:rsid w:val="001F6D52"/>
    <w:rsid w:val="001F6E97"/>
    <w:rsid w:val="001F77C7"/>
    <w:rsid w:val="00200183"/>
    <w:rsid w:val="00200333"/>
    <w:rsid w:val="0020107D"/>
    <w:rsid w:val="00201555"/>
    <w:rsid w:val="00202AA4"/>
    <w:rsid w:val="002031F7"/>
    <w:rsid w:val="002040E6"/>
    <w:rsid w:val="0020527B"/>
    <w:rsid w:val="00205F2C"/>
    <w:rsid w:val="00206C5C"/>
    <w:rsid w:val="00207920"/>
    <w:rsid w:val="00210B15"/>
    <w:rsid w:val="00212465"/>
    <w:rsid w:val="00213457"/>
    <w:rsid w:val="00213763"/>
    <w:rsid w:val="00213780"/>
    <w:rsid w:val="00214284"/>
    <w:rsid w:val="002142EA"/>
    <w:rsid w:val="002144DC"/>
    <w:rsid w:val="00215B6B"/>
    <w:rsid w:val="002177FE"/>
    <w:rsid w:val="002204BB"/>
    <w:rsid w:val="00221777"/>
    <w:rsid w:val="00221B79"/>
    <w:rsid w:val="00221C6B"/>
    <w:rsid w:val="0022225E"/>
    <w:rsid w:val="0022277A"/>
    <w:rsid w:val="002234DE"/>
    <w:rsid w:val="00224B27"/>
    <w:rsid w:val="00224EB8"/>
    <w:rsid w:val="002253A1"/>
    <w:rsid w:val="00225CF8"/>
    <w:rsid w:val="00225E88"/>
    <w:rsid w:val="00226135"/>
    <w:rsid w:val="0022794E"/>
    <w:rsid w:val="00230CEF"/>
    <w:rsid w:val="002325F6"/>
    <w:rsid w:val="00233D42"/>
    <w:rsid w:val="00233D64"/>
    <w:rsid w:val="0023482A"/>
    <w:rsid w:val="002359CB"/>
    <w:rsid w:val="00237B5C"/>
    <w:rsid w:val="00241D91"/>
    <w:rsid w:val="00242883"/>
    <w:rsid w:val="00243207"/>
    <w:rsid w:val="00243540"/>
    <w:rsid w:val="0024497B"/>
    <w:rsid w:val="0024515B"/>
    <w:rsid w:val="00245CF7"/>
    <w:rsid w:val="00246021"/>
    <w:rsid w:val="002465BF"/>
    <w:rsid w:val="0024666E"/>
    <w:rsid w:val="00247514"/>
    <w:rsid w:val="00247C3B"/>
    <w:rsid w:val="00247F52"/>
    <w:rsid w:val="00250B25"/>
    <w:rsid w:val="00250BBE"/>
    <w:rsid w:val="002515C2"/>
    <w:rsid w:val="0025194F"/>
    <w:rsid w:val="002545F4"/>
    <w:rsid w:val="00260009"/>
    <w:rsid w:val="0026148A"/>
    <w:rsid w:val="00261ABC"/>
    <w:rsid w:val="00261B95"/>
    <w:rsid w:val="00262696"/>
    <w:rsid w:val="00262F0F"/>
    <w:rsid w:val="00263942"/>
    <w:rsid w:val="00263D25"/>
    <w:rsid w:val="00263FFF"/>
    <w:rsid w:val="002643C3"/>
    <w:rsid w:val="00264A0C"/>
    <w:rsid w:val="00264B1C"/>
    <w:rsid w:val="002656EA"/>
    <w:rsid w:val="00266EEB"/>
    <w:rsid w:val="002673E9"/>
    <w:rsid w:val="00267EF4"/>
    <w:rsid w:val="00270CB8"/>
    <w:rsid w:val="002716B1"/>
    <w:rsid w:val="00271BB8"/>
    <w:rsid w:val="00272B08"/>
    <w:rsid w:val="0027396B"/>
    <w:rsid w:val="002754B4"/>
    <w:rsid w:val="0027637D"/>
    <w:rsid w:val="00277348"/>
    <w:rsid w:val="002807D6"/>
    <w:rsid w:val="00281BB8"/>
    <w:rsid w:val="00281E9E"/>
    <w:rsid w:val="00282405"/>
    <w:rsid w:val="002847FA"/>
    <w:rsid w:val="0028493E"/>
    <w:rsid w:val="00285170"/>
    <w:rsid w:val="00285361"/>
    <w:rsid w:val="002879C7"/>
    <w:rsid w:val="00287B15"/>
    <w:rsid w:val="0029192D"/>
    <w:rsid w:val="00291E51"/>
    <w:rsid w:val="00292D60"/>
    <w:rsid w:val="00293B30"/>
    <w:rsid w:val="00294D34"/>
    <w:rsid w:val="00294E3B"/>
    <w:rsid w:val="00296193"/>
    <w:rsid w:val="00296861"/>
    <w:rsid w:val="00296C66"/>
    <w:rsid w:val="00296EBE"/>
    <w:rsid w:val="00296F81"/>
    <w:rsid w:val="002974E3"/>
    <w:rsid w:val="00297863"/>
    <w:rsid w:val="002A0591"/>
    <w:rsid w:val="002A084B"/>
    <w:rsid w:val="002A085B"/>
    <w:rsid w:val="002A1260"/>
    <w:rsid w:val="002A1589"/>
    <w:rsid w:val="002A1608"/>
    <w:rsid w:val="002A25DC"/>
    <w:rsid w:val="002A3AAB"/>
    <w:rsid w:val="002A3DF7"/>
    <w:rsid w:val="002A4CEA"/>
    <w:rsid w:val="002A4E49"/>
    <w:rsid w:val="002A5977"/>
    <w:rsid w:val="002A5A13"/>
    <w:rsid w:val="002A757F"/>
    <w:rsid w:val="002A7B92"/>
    <w:rsid w:val="002A7F44"/>
    <w:rsid w:val="002B0C40"/>
    <w:rsid w:val="002B1966"/>
    <w:rsid w:val="002B2308"/>
    <w:rsid w:val="002B2FDE"/>
    <w:rsid w:val="002B3236"/>
    <w:rsid w:val="002B3D41"/>
    <w:rsid w:val="002B4508"/>
    <w:rsid w:val="002B51F0"/>
    <w:rsid w:val="002B539A"/>
    <w:rsid w:val="002B5779"/>
    <w:rsid w:val="002B5BE1"/>
    <w:rsid w:val="002B6CA2"/>
    <w:rsid w:val="002B7332"/>
    <w:rsid w:val="002B7EAF"/>
    <w:rsid w:val="002B7F51"/>
    <w:rsid w:val="002C09E7"/>
    <w:rsid w:val="002C1E06"/>
    <w:rsid w:val="002C1E1C"/>
    <w:rsid w:val="002C26A5"/>
    <w:rsid w:val="002C3CB3"/>
    <w:rsid w:val="002C3F07"/>
    <w:rsid w:val="002C5012"/>
    <w:rsid w:val="002C5278"/>
    <w:rsid w:val="002C7237"/>
    <w:rsid w:val="002C7EBB"/>
    <w:rsid w:val="002D06C1"/>
    <w:rsid w:val="002D165B"/>
    <w:rsid w:val="002D2DAA"/>
    <w:rsid w:val="002D320E"/>
    <w:rsid w:val="002D42B5"/>
    <w:rsid w:val="002D4F1A"/>
    <w:rsid w:val="002D6388"/>
    <w:rsid w:val="002D6EC6"/>
    <w:rsid w:val="002D79AC"/>
    <w:rsid w:val="002D7A0E"/>
    <w:rsid w:val="002E039D"/>
    <w:rsid w:val="002E3317"/>
    <w:rsid w:val="002E3E85"/>
    <w:rsid w:val="002E4271"/>
    <w:rsid w:val="002E4D5A"/>
    <w:rsid w:val="002E51D8"/>
    <w:rsid w:val="002E5A09"/>
    <w:rsid w:val="002E6326"/>
    <w:rsid w:val="002E7DA8"/>
    <w:rsid w:val="002F060F"/>
    <w:rsid w:val="002F20BB"/>
    <w:rsid w:val="002F30E0"/>
    <w:rsid w:val="002F35E4"/>
    <w:rsid w:val="002F3730"/>
    <w:rsid w:val="002F38E1"/>
    <w:rsid w:val="002F4AFD"/>
    <w:rsid w:val="002F5746"/>
    <w:rsid w:val="002F575A"/>
    <w:rsid w:val="002F5BA0"/>
    <w:rsid w:val="002F5CDF"/>
    <w:rsid w:val="002F5D5F"/>
    <w:rsid w:val="002F6635"/>
    <w:rsid w:val="002F6F5D"/>
    <w:rsid w:val="002F7AF6"/>
    <w:rsid w:val="002F7E4E"/>
    <w:rsid w:val="00300E63"/>
    <w:rsid w:val="00301FF6"/>
    <w:rsid w:val="00302482"/>
    <w:rsid w:val="00302F5F"/>
    <w:rsid w:val="00303697"/>
    <w:rsid w:val="00304060"/>
    <w:rsid w:val="0030441D"/>
    <w:rsid w:val="00306063"/>
    <w:rsid w:val="00306385"/>
    <w:rsid w:val="00306BDB"/>
    <w:rsid w:val="003070D3"/>
    <w:rsid w:val="00307249"/>
    <w:rsid w:val="003115DC"/>
    <w:rsid w:val="00312BF5"/>
    <w:rsid w:val="003134B1"/>
    <w:rsid w:val="00313B85"/>
    <w:rsid w:val="0031787E"/>
    <w:rsid w:val="00317988"/>
    <w:rsid w:val="00317C02"/>
    <w:rsid w:val="003209B3"/>
    <w:rsid w:val="003217AE"/>
    <w:rsid w:val="003221B4"/>
    <w:rsid w:val="0032258D"/>
    <w:rsid w:val="003226BC"/>
    <w:rsid w:val="00322E62"/>
    <w:rsid w:val="003234CD"/>
    <w:rsid w:val="00324D13"/>
    <w:rsid w:val="00324D2A"/>
    <w:rsid w:val="00324D85"/>
    <w:rsid w:val="00324EDD"/>
    <w:rsid w:val="00326315"/>
    <w:rsid w:val="00326C46"/>
    <w:rsid w:val="003273CF"/>
    <w:rsid w:val="003300DB"/>
    <w:rsid w:val="00330F31"/>
    <w:rsid w:val="00331829"/>
    <w:rsid w:val="003324F3"/>
    <w:rsid w:val="00332901"/>
    <w:rsid w:val="003331E4"/>
    <w:rsid w:val="003334F5"/>
    <w:rsid w:val="00334316"/>
    <w:rsid w:val="00334E21"/>
    <w:rsid w:val="003361B1"/>
    <w:rsid w:val="003363AF"/>
    <w:rsid w:val="00336838"/>
    <w:rsid w:val="00336C64"/>
    <w:rsid w:val="00337162"/>
    <w:rsid w:val="00337DDD"/>
    <w:rsid w:val="00340D3A"/>
    <w:rsid w:val="003417DD"/>
    <w:rsid w:val="0034194F"/>
    <w:rsid w:val="00341F21"/>
    <w:rsid w:val="003436FB"/>
    <w:rsid w:val="00344605"/>
    <w:rsid w:val="00345132"/>
    <w:rsid w:val="00347117"/>
    <w:rsid w:val="003474AA"/>
    <w:rsid w:val="00350D1D"/>
    <w:rsid w:val="00352C83"/>
    <w:rsid w:val="003556B6"/>
    <w:rsid w:val="003566EC"/>
    <w:rsid w:val="0035678A"/>
    <w:rsid w:val="00357A2C"/>
    <w:rsid w:val="003615D2"/>
    <w:rsid w:val="0036429C"/>
    <w:rsid w:val="00364A53"/>
    <w:rsid w:val="00364FB0"/>
    <w:rsid w:val="003654CB"/>
    <w:rsid w:val="00365AA9"/>
    <w:rsid w:val="00365F86"/>
    <w:rsid w:val="00365F87"/>
    <w:rsid w:val="00366E89"/>
    <w:rsid w:val="00367881"/>
    <w:rsid w:val="0036791A"/>
    <w:rsid w:val="003705F4"/>
    <w:rsid w:val="00370A92"/>
    <w:rsid w:val="00370BD8"/>
    <w:rsid w:val="00370D58"/>
    <w:rsid w:val="00371316"/>
    <w:rsid w:val="00371FB7"/>
    <w:rsid w:val="0037214A"/>
    <w:rsid w:val="0037356C"/>
    <w:rsid w:val="0037499B"/>
    <w:rsid w:val="0037532E"/>
    <w:rsid w:val="00376713"/>
    <w:rsid w:val="003768C4"/>
    <w:rsid w:val="00376E75"/>
    <w:rsid w:val="00377386"/>
    <w:rsid w:val="00377AE7"/>
    <w:rsid w:val="00381560"/>
    <w:rsid w:val="00381815"/>
    <w:rsid w:val="003819AF"/>
    <w:rsid w:val="003820E9"/>
    <w:rsid w:val="00382D3E"/>
    <w:rsid w:val="00382DE7"/>
    <w:rsid w:val="00383A96"/>
    <w:rsid w:val="00383BF7"/>
    <w:rsid w:val="00383E66"/>
    <w:rsid w:val="00384C32"/>
    <w:rsid w:val="00384FFC"/>
    <w:rsid w:val="00385CC5"/>
    <w:rsid w:val="00386013"/>
    <w:rsid w:val="003871CC"/>
    <w:rsid w:val="003872FC"/>
    <w:rsid w:val="00387A54"/>
    <w:rsid w:val="00387ADC"/>
    <w:rsid w:val="00387DF7"/>
    <w:rsid w:val="00390020"/>
    <w:rsid w:val="003903D6"/>
    <w:rsid w:val="003906B8"/>
    <w:rsid w:val="00390EE6"/>
    <w:rsid w:val="0039118F"/>
    <w:rsid w:val="00392AD7"/>
    <w:rsid w:val="003938D9"/>
    <w:rsid w:val="00393E7E"/>
    <w:rsid w:val="00394376"/>
    <w:rsid w:val="003943FF"/>
    <w:rsid w:val="00395700"/>
    <w:rsid w:val="003958CF"/>
    <w:rsid w:val="00396F79"/>
    <w:rsid w:val="003974EB"/>
    <w:rsid w:val="00397596"/>
    <w:rsid w:val="00397CC5"/>
    <w:rsid w:val="003A02B0"/>
    <w:rsid w:val="003A07C4"/>
    <w:rsid w:val="003A1582"/>
    <w:rsid w:val="003A1D8C"/>
    <w:rsid w:val="003A216C"/>
    <w:rsid w:val="003A25CA"/>
    <w:rsid w:val="003A35EC"/>
    <w:rsid w:val="003A3968"/>
    <w:rsid w:val="003A4077"/>
    <w:rsid w:val="003A672F"/>
    <w:rsid w:val="003A7ACA"/>
    <w:rsid w:val="003B04AF"/>
    <w:rsid w:val="003B09AD"/>
    <w:rsid w:val="003B17C2"/>
    <w:rsid w:val="003B1F18"/>
    <w:rsid w:val="003B283A"/>
    <w:rsid w:val="003B412E"/>
    <w:rsid w:val="003B5BF0"/>
    <w:rsid w:val="003B5C36"/>
    <w:rsid w:val="003B60BF"/>
    <w:rsid w:val="003B65C7"/>
    <w:rsid w:val="003B6B8F"/>
    <w:rsid w:val="003B6BE3"/>
    <w:rsid w:val="003C010C"/>
    <w:rsid w:val="003C0A6C"/>
    <w:rsid w:val="003C14F8"/>
    <w:rsid w:val="003C15F8"/>
    <w:rsid w:val="003C2318"/>
    <w:rsid w:val="003C24A0"/>
    <w:rsid w:val="003C2D6C"/>
    <w:rsid w:val="003C5A1C"/>
    <w:rsid w:val="003C5A43"/>
    <w:rsid w:val="003C6795"/>
    <w:rsid w:val="003D0519"/>
    <w:rsid w:val="003D0604"/>
    <w:rsid w:val="003D0FF6"/>
    <w:rsid w:val="003D1E5D"/>
    <w:rsid w:val="003D262C"/>
    <w:rsid w:val="003D41C3"/>
    <w:rsid w:val="003D4442"/>
    <w:rsid w:val="003D619E"/>
    <w:rsid w:val="003D6D61"/>
    <w:rsid w:val="003D7BB1"/>
    <w:rsid w:val="003E091D"/>
    <w:rsid w:val="003E0D8E"/>
    <w:rsid w:val="003E1A1A"/>
    <w:rsid w:val="003E1C53"/>
    <w:rsid w:val="003E2A69"/>
    <w:rsid w:val="003E2D49"/>
    <w:rsid w:val="003E2FD4"/>
    <w:rsid w:val="003E4893"/>
    <w:rsid w:val="003E49F6"/>
    <w:rsid w:val="003E585D"/>
    <w:rsid w:val="003E5EC7"/>
    <w:rsid w:val="003E6520"/>
    <w:rsid w:val="003E660F"/>
    <w:rsid w:val="003E7E00"/>
    <w:rsid w:val="003F06E7"/>
    <w:rsid w:val="003F0841"/>
    <w:rsid w:val="003F23D3"/>
    <w:rsid w:val="003F3F08"/>
    <w:rsid w:val="003F480D"/>
    <w:rsid w:val="003F49F1"/>
    <w:rsid w:val="003F537D"/>
    <w:rsid w:val="003F6272"/>
    <w:rsid w:val="003F758F"/>
    <w:rsid w:val="003F7C94"/>
    <w:rsid w:val="003F7D0C"/>
    <w:rsid w:val="00400E72"/>
    <w:rsid w:val="00401400"/>
    <w:rsid w:val="0040367C"/>
    <w:rsid w:val="00404869"/>
    <w:rsid w:val="00404D5A"/>
    <w:rsid w:val="0040542F"/>
    <w:rsid w:val="00405884"/>
    <w:rsid w:val="00405BA4"/>
    <w:rsid w:val="0040623B"/>
    <w:rsid w:val="00407D39"/>
    <w:rsid w:val="00410586"/>
    <w:rsid w:val="00411536"/>
    <w:rsid w:val="0041385F"/>
    <w:rsid w:val="0041477A"/>
    <w:rsid w:val="00416394"/>
    <w:rsid w:val="004167A3"/>
    <w:rsid w:val="00420125"/>
    <w:rsid w:val="0042057B"/>
    <w:rsid w:val="00421D7A"/>
    <w:rsid w:val="004231C2"/>
    <w:rsid w:val="004234F0"/>
    <w:rsid w:val="004248DF"/>
    <w:rsid w:val="00430020"/>
    <w:rsid w:val="00432A72"/>
    <w:rsid w:val="00432DAA"/>
    <w:rsid w:val="00433D3B"/>
    <w:rsid w:val="00434305"/>
    <w:rsid w:val="00434B29"/>
    <w:rsid w:val="004358C3"/>
    <w:rsid w:val="00435DF7"/>
    <w:rsid w:val="00436738"/>
    <w:rsid w:val="00436E94"/>
    <w:rsid w:val="0044083F"/>
    <w:rsid w:val="004408DB"/>
    <w:rsid w:val="00441AE7"/>
    <w:rsid w:val="004421F1"/>
    <w:rsid w:val="00442AAC"/>
    <w:rsid w:val="00442C81"/>
    <w:rsid w:val="00443211"/>
    <w:rsid w:val="00444187"/>
    <w:rsid w:val="0044472A"/>
    <w:rsid w:val="0044507A"/>
    <w:rsid w:val="00445574"/>
    <w:rsid w:val="004467FB"/>
    <w:rsid w:val="00446DC3"/>
    <w:rsid w:val="00450E14"/>
    <w:rsid w:val="0045193C"/>
    <w:rsid w:val="004520FD"/>
    <w:rsid w:val="00452373"/>
    <w:rsid w:val="00452D6B"/>
    <w:rsid w:val="00452EA4"/>
    <w:rsid w:val="00453410"/>
    <w:rsid w:val="004537D6"/>
    <w:rsid w:val="00453D19"/>
    <w:rsid w:val="00454484"/>
    <w:rsid w:val="0045517B"/>
    <w:rsid w:val="00461160"/>
    <w:rsid w:val="00461324"/>
    <w:rsid w:val="0046195A"/>
    <w:rsid w:val="00462F43"/>
    <w:rsid w:val="0046395E"/>
    <w:rsid w:val="00463B77"/>
    <w:rsid w:val="00463C7B"/>
    <w:rsid w:val="004644A6"/>
    <w:rsid w:val="004659BD"/>
    <w:rsid w:val="00466533"/>
    <w:rsid w:val="004673B3"/>
    <w:rsid w:val="00470775"/>
    <w:rsid w:val="00471135"/>
    <w:rsid w:val="004727B5"/>
    <w:rsid w:val="0047452A"/>
    <w:rsid w:val="004746B1"/>
    <w:rsid w:val="0047583F"/>
    <w:rsid w:val="00475DA4"/>
    <w:rsid w:val="00475DE8"/>
    <w:rsid w:val="004770E0"/>
    <w:rsid w:val="00481654"/>
    <w:rsid w:val="00481C44"/>
    <w:rsid w:val="00482201"/>
    <w:rsid w:val="00482676"/>
    <w:rsid w:val="00484936"/>
    <w:rsid w:val="00484C82"/>
    <w:rsid w:val="00485141"/>
    <w:rsid w:val="00485608"/>
    <w:rsid w:val="00485C89"/>
    <w:rsid w:val="00486BE3"/>
    <w:rsid w:val="0049049C"/>
    <w:rsid w:val="004905E4"/>
    <w:rsid w:val="004907BE"/>
    <w:rsid w:val="00490A89"/>
    <w:rsid w:val="00490AB4"/>
    <w:rsid w:val="004924AD"/>
    <w:rsid w:val="00492F02"/>
    <w:rsid w:val="004939AE"/>
    <w:rsid w:val="00493B79"/>
    <w:rsid w:val="004965D6"/>
    <w:rsid w:val="00497498"/>
    <w:rsid w:val="004A0791"/>
    <w:rsid w:val="004A12DF"/>
    <w:rsid w:val="004A17E6"/>
    <w:rsid w:val="004A1BA8"/>
    <w:rsid w:val="004A2868"/>
    <w:rsid w:val="004A449F"/>
    <w:rsid w:val="004A4B57"/>
    <w:rsid w:val="004A4BDD"/>
    <w:rsid w:val="004A63FA"/>
    <w:rsid w:val="004A6A44"/>
    <w:rsid w:val="004A7636"/>
    <w:rsid w:val="004A7D03"/>
    <w:rsid w:val="004B0272"/>
    <w:rsid w:val="004B05AC"/>
    <w:rsid w:val="004B113E"/>
    <w:rsid w:val="004B2701"/>
    <w:rsid w:val="004B2E1B"/>
    <w:rsid w:val="004B3367"/>
    <w:rsid w:val="004B3AA8"/>
    <w:rsid w:val="004B3E93"/>
    <w:rsid w:val="004B4F1C"/>
    <w:rsid w:val="004B73FB"/>
    <w:rsid w:val="004B7CB1"/>
    <w:rsid w:val="004C0314"/>
    <w:rsid w:val="004C036E"/>
    <w:rsid w:val="004C0A59"/>
    <w:rsid w:val="004C1D0D"/>
    <w:rsid w:val="004C1FBC"/>
    <w:rsid w:val="004C3F1D"/>
    <w:rsid w:val="004C4304"/>
    <w:rsid w:val="004C4498"/>
    <w:rsid w:val="004C458D"/>
    <w:rsid w:val="004C69E8"/>
    <w:rsid w:val="004C7556"/>
    <w:rsid w:val="004C7E8B"/>
    <w:rsid w:val="004C7E9D"/>
    <w:rsid w:val="004C7F67"/>
    <w:rsid w:val="004D076D"/>
    <w:rsid w:val="004D0EF1"/>
    <w:rsid w:val="004D1138"/>
    <w:rsid w:val="004D1356"/>
    <w:rsid w:val="004D21E0"/>
    <w:rsid w:val="004D2253"/>
    <w:rsid w:val="004D2476"/>
    <w:rsid w:val="004D2D50"/>
    <w:rsid w:val="004D3386"/>
    <w:rsid w:val="004D4183"/>
    <w:rsid w:val="004D4406"/>
    <w:rsid w:val="004D7C42"/>
    <w:rsid w:val="004E0465"/>
    <w:rsid w:val="004E0860"/>
    <w:rsid w:val="004E127B"/>
    <w:rsid w:val="004E1C0A"/>
    <w:rsid w:val="004E2B06"/>
    <w:rsid w:val="004E30C5"/>
    <w:rsid w:val="004E367A"/>
    <w:rsid w:val="004E3ED1"/>
    <w:rsid w:val="004E4AA5"/>
    <w:rsid w:val="004E4AEE"/>
    <w:rsid w:val="004E513A"/>
    <w:rsid w:val="004E546A"/>
    <w:rsid w:val="004E59E3"/>
    <w:rsid w:val="004E600B"/>
    <w:rsid w:val="004E67C0"/>
    <w:rsid w:val="004E6B84"/>
    <w:rsid w:val="004E7AC2"/>
    <w:rsid w:val="004F0E61"/>
    <w:rsid w:val="004F2203"/>
    <w:rsid w:val="004F222E"/>
    <w:rsid w:val="004F391A"/>
    <w:rsid w:val="004F3CFB"/>
    <w:rsid w:val="004F6456"/>
    <w:rsid w:val="004F696E"/>
    <w:rsid w:val="004F6C71"/>
    <w:rsid w:val="004F6F5A"/>
    <w:rsid w:val="004F722F"/>
    <w:rsid w:val="004F7B33"/>
    <w:rsid w:val="00500E33"/>
    <w:rsid w:val="00501139"/>
    <w:rsid w:val="00501FD6"/>
    <w:rsid w:val="00502127"/>
    <w:rsid w:val="0050363E"/>
    <w:rsid w:val="005039BC"/>
    <w:rsid w:val="005043BB"/>
    <w:rsid w:val="00504A3D"/>
    <w:rsid w:val="00504B73"/>
    <w:rsid w:val="00505767"/>
    <w:rsid w:val="0050608D"/>
    <w:rsid w:val="005073A3"/>
    <w:rsid w:val="005073F0"/>
    <w:rsid w:val="0050751F"/>
    <w:rsid w:val="00510109"/>
    <w:rsid w:val="0051037E"/>
    <w:rsid w:val="00510A7B"/>
    <w:rsid w:val="00512EF0"/>
    <w:rsid w:val="00512F6E"/>
    <w:rsid w:val="00513038"/>
    <w:rsid w:val="00514174"/>
    <w:rsid w:val="00514E8B"/>
    <w:rsid w:val="005157ED"/>
    <w:rsid w:val="00516088"/>
    <w:rsid w:val="00516A68"/>
    <w:rsid w:val="00516B0B"/>
    <w:rsid w:val="005220EC"/>
    <w:rsid w:val="00522718"/>
    <w:rsid w:val="005228B1"/>
    <w:rsid w:val="00522B47"/>
    <w:rsid w:val="00523E8C"/>
    <w:rsid w:val="00523F95"/>
    <w:rsid w:val="00524D65"/>
    <w:rsid w:val="00525B16"/>
    <w:rsid w:val="00526221"/>
    <w:rsid w:val="005267EE"/>
    <w:rsid w:val="0053003A"/>
    <w:rsid w:val="00533C95"/>
    <w:rsid w:val="00533D04"/>
    <w:rsid w:val="00534804"/>
    <w:rsid w:val="00534BDF"/>
    <w:rsid w:val="005354EA"/>
    <w:rsid w:val="0053585F"/>
    <w:rsid w:val="00535EAA"/>
    <w:rsid w:val="00535EC4"/>
    <w:rsid w:val="00535ED9"/>
    <w:rsid w:val="0053692B"/>
    <w:rsid w:val="00537BAC"/>
    <w:rsid w:val="00540FE4"/>
    <w:rsid w:val="00541853"/>
    <w:rsid w:val="00543BDA"/>
    <w:rsid w:val="005441CC"/>
    <w:rsid w:val="00545422"/>
    <w:rsid w:val="00546115"/>
    <w:rsid w:val="005479DA"/>
    <w:rsid w:val="00547BCC"/>
    <w:rsid w:val="00547F9A"/>
    <w:rsid w:val="0055013B"/>
    <w:rsid w:val="00551A9F"/>
    <w:rsid w:val="00551B29"/>
    <w:rsid w:val="00551D32"/>
    <w:rsid w:val="00551E5B"/>
    <w:rsid w:val="00551F6F"/>
    <w:rsid w:val="0055392F"/>
    <w:rsid w:val="00554192"/>
    <w:rsid w:val="00555044"/>
    <w:rsid w:val="005558AA"/>
    <w:rsid w:val="00557533"/>
    <w:rsid w:val="00561475"/>
    <w:rsid w:val="005618C0"/>
    <w:rsid w:val="00561A69"/>
    <w:rsid w:val="00562445"/>
    <w:rsid w:val="00563722"/>
    <w:rsid w:val="00564076"/>
    <w:rsid w:val="0056487B"/>
    <w:rsid w:val="005649E8"/>
    <w:rsid w:val="00564D55"/>
    <w:rsid w:val="00564FB9"/>
    <w:rsid w:val="005658D8"/>
    <w:rsid w:val="005664AD"/>
    <w:rsid w:val="00571255"/>
    <w:rsid w:val="00572638"/>
    <w:rsid w:val="00573655"/>
    <w:rsid w:val="00573D9E"/>
    <w:rsid w:val="00574C4A"/>
    <w:rsid w:val="00574F32"/>
    <w:rsid w:val="00575B8E"/>
    <w:rsid w:val="0057666F"/>
    <w:rsid w:val="00576FE6"/>
    <w:rsid w:val="005801E3"/>
    <w:rsid w:val="00581802"/>
    <w:rsid w:val="00582387"/>
    <w:rsid w:val="0058349F"/>
    <w:rsid w:val="005836A8"/>
    <w:rsid w:val="00583849"/>
    <w:rsid w:val="0058409C"/>
    <w:rsid w:val="00584221"/>
    <w:rsid w:val="00584262"/>
    <w:rsid w:val="00585175"/>
    <w:rsid w:val="00585647"/>
    <w:rsid w:val="00586630"/>
    <w:rsid w:val="00586E7E"/>
    <w:rsid w:val="00587ADD"/>
    <w:rsid w:val="00590D28"/>
    <w:rsid w:val="00591A01"/>
    <w:rsid w:val="00591E27"/>
    <w:rsid w:val="005928BD"/>
    <w:rsid w:val="005928D7"/>
    <w:rsid w:val="00593C65"/>
    <w:rsid w:val="00593F46"/>
    <w:rsid w:val="00596160"/>
    <w:rsid w:val="005966E2"/>
    <w:rsid w:val="00597007"/>
    <w:rsid w:val="00597946"/>
    <w:rsid w:val="005A0966"/>
    <w:rsid w:val="005A11B7"/>
    <w:rsid w:val="005A260B"/>
    <w:rsid w:val="005A3516"/>
    <w:rsid w:val="005A4A1B"/>
    <w:rsid w:val="005A503E"/>
    <w:rsid w:val="005A5568"/>
    <w:rsid w:val="005A63F9"/>
    <w:rsid w:val="005A76FC"/>
    <w:rsid w:val="005A7830"/>
    <w:rsid w:val="005A7FCE"/>
    <w:rsid w:val="005B0F3F"/>
    <w:rsid w:val="005B3365"/>
    <w:rsid w:val="005B4903"/>
    <w:rsid w:val="005B4D9B"/>
    <w:rsid w:val="005B4FB1"/>
    <w:rsid w:val="005B51CE"/>
    <w:rsid w:val="005B537D"/>
    <w:rsid w:val="005B5885"/>
    <w:rsid w:val="005B5CD7"/>
    <w:rsid w:val="005B6C7D"/>
    <w:rsid w:val="005B6CF6"/>
    <w:rsid w:val="005B7422"/>
    <w:rsid w:val="005B7C6B"/>
    <w:rsid w:val="005C0FFF"/>
    <w:rsid w:val="005C1934"/>
    <w:rsid w:val="005C29B8"/>
    <w:rsid w:val="005C5B4F"/>
    <w:rsid w:val="005C5C8F"/>
    <w:rsid w:val="005C5D5D"/>
    <w:rsid w:val="005C5EE6"/>
    <w:rsid w:val="005C5F21"/>
    <w:rsid w:val="005C663C"/>
    <w:rsid w:val="005C7156"/>
    <w:rsid w:val="005C7E97"/>
    <w:rsid w:val="005D03A9"/>
    <w:rsid w:val="005D0B1E"/>
    <w:rsid w:val="005D0C75"/>
    <w:rsid w:val="005D1ACC"/>
    <w:rsid w:val="005D1E07"/>
    <w:rsid w:val="005D1FBA"/>
    <w:rsid w:val="005D4171"/>
    <w:rsid w:val="005D4191"/>
    <w:rsid w:val="005D46FC"/>
    <w:rsid w:val="005D472B"/>
    <w:rsid w:val="005D48AB"/>
    <w:rsid w:val="005D4ED8"/>
    <w:rsid w:val="005D6A95"/>
    <w:rsid w:val="005D6B2C"/>
    <w:rsid w:val="005D6D9C"/>
    <w:rsid w:val="005E03FB"/>
    <w:rsid w:val="005E047D"/>
    <w:rsid w:val="005E0C88"/>
    <w:rsid w:val="005E2335"/>
    <w:rsid w:val="005E3287"/>
    <w:rsid w:val="005E34CA"/>
    <w:rsid w:val="005E3C18"/>
    <w:rsid w:val="005E3EC4"/>
    <w:rsid w:val="005E4578"/>
    <w:rsid w:val="005E4D7B"/>
    <w:rsid w:val="005E6812"/>
    <w:rsid w:val="005E7881"/>
    <w:rsid w:val="005E78E0"/>
    <w:rsid w:val="005F01A1"/>
    <w:rsid w:val="005F0C04"/>
    <w:rsid w:val="005F0D9C"/>
    <w:rsid w:val="005F284E"/>
    <w:rsid w:val="005F4712"/>
    <w:rsid w:val="005F5DD9"/>
    <w:rsid w:val="005F7272"/>
    <w:rsid w:val="006015CE"/>
    <w:rsid w:val="00601E8B"/>
    <w:rsid w:val="00604784"/>
    <w:rsid w:val="006057E1"/>
    <w:rsid w:val="00605DC8"/>
    <w:rsid w:val="00606419"/>
    <w:rsid w:val="0060748A"/>
    <w:rsid w:val="00607C30"/>
    <w:rsid w:val="00607D29"/>
    <w:rsid w:val="00607FA5"/>
    <w:rsid w:val="0061161F"/>
    <w:rsid w:val="00611CE3"/>
    <w:rsid w:val="00612952"/>
    <w:rsid w:val="00614ADD"/>
    <w:rsid w:val="00614CC1"/>
    <w:rsid w:val="00615A9D"/>
    <w:rsid w:val="006167AE"/>
    <w:rsid w:val="00617387"/>
    <w:rsid w:val="0061784B"/>
    <w:rsid w:val="00617B51"/>
    <w:rsid w:val="00620263"/>
    <w:rsid w:val="006205D6"/>
    <w:rsid w:val="00620A33"/>
    <w:rsid w:val="0062297D"/>
    <w:rsid w:val="00624E32"/>
    <w:rsid w:val="006252D8"/>
    <w:rsid w:val="0062567B"/>
    <w:rsid w:val="006259BC"/>
    <w:rsid w:val="0062636B"/>
    <w:rsid w:val="0063031C"/>
    <w:rsid w:val="006313A5"/>
    <w:rsid w:val="006314E3"/>
    <w:rsid w:val="00632182"/>
    <w:rsid w:val="00632AE0"/>
    <w:rsid w:val="0063343C"/>
    <w:rsid w:val="00633C17"/>
    <w:rsid w:val="00634847"/>
    <w:rsid w:val="00634D9E"/>
    <w:rsid w:val="00634FCD"/>
    <w:rsid w:val="00635012"/>
    <w:rsid w:val="00636E3E"/>
    <w:rsid w:val="006379F7"/>
    <w:rsid w:val="00637E4D"/>
    <w:rsid w:val="00640620"/>
    <w:rsid w:val="00641A1F"/>
    <w:rsid w:val="00642318"/>
    <w:rsid w:val="0064244B"/>
    <w:rsid w:val="006438AE"/>
    <w:rsid w:val="006444AE"/>
    <w:rsid w:val="00644C22"/>
    <w:rsid w:val="00645904"/>
    <w:rsid w:val="00645A96"/>
    <w:rsid w:val="00645BF6"/>
    <w:rsid w:val="00650079"/>
    <w:rsid w:val="00651ACB"/>
    <w:rsid w:val="00651C47"/>
    <w:rsid w:val="00652AB2"/>
    <w:rsid w:val="00653C66"/>
    <w:rsid w:val="00653FED"/>
    <w:rsid w:val="00653FF6"/>
    <w:rsid w:val="00654EC0"/>
    <w:rsid w:val="00655036"/>
    <w:rsid w:val="0065525B"/>
    <w:rsid w:val="00655D4F"/>
    <w:rsid w:val="00656D29"/>
    <w:rsid w:val="0065780C"/>
    <w:rsid w:val="006607B2"/>
    <w:rsid w:val="00660866"/>
    <w:rsid w:val="006634F0"/>
    <w:rsid w:val="00663A76"/>
    <w:rsid w:val="006640E5"/>
    <w:rsid w:val="0066417E"/>
    <w:rsid w:val="006646F1"/>
    <w:rsid w:val="00664929"/>
    <w:rsid w:val="00664970"/>
    <w:rsid w:val="00664F62"/>
    <w:rsid w:val="006655E1"/>
    <w:rsid w:val="0066735A"/>
    <w:rsid w:val="00670B37"/>
    <w:rsid w:val="006713ED"/>
    <w:rsid w:val="0067186A"/>
    <w:rsid w:val="00672060"/>
    <w:rsid w:val="00672848"/>
    <w:rsid w:val="00672BFD"/>
    <w:rsid w:val="006756BD"/>
    <w:rsid w:val="0067594A"/>
    <w:rsid w:val="006770F4"/>
    <w:rsid w:val="00677A84"/>
    <w:rsid w:val="00680210"/>
    <w:rsid w:val="0068026D"/>
    <w:rsid w:val="00680A27"/>
    <w:rsid w:val="00681420"/>
    <w:rsid w:val="006816A4"/>
    <w:rsid w:val="006819B8"/>
    <w:rsid w:val="0068292F"/>
    <w:rsid w:val="00682A44"/>
    <w:rsid w:val="00682CF8"/>
    <w:rsid w:val="006840A6"/>
    <w:rsid w:val="006850CD"/>
    <w:rsid w:val="00685AAB"/>
    <w:rsid w:val="00685FD3"/>
    <w:rsid w:val="0069084F"/>
    <w:rsid w:val="00691B89"/>
    <w:rsid w:val="00692106"/>
    <w:rsid w:val="00692E26"/>
    <w:rsid w:val="00694029"/>
    <w:rsid w:val="006940B6"/>
    <w:rsid w:val="006946A6"/>
    <w:rsid w:val="00695019"/>
    <w:rsid w:val="0069570D"/>
    <w:rsid w:val="006957B0"/>
    <w:rsid w:val="00695D22"/>
    <w:rsid w:val="00697B9D"/>
    <w:rsid w:val="00697BE1"/>
    <w:rsid w:val="006A07AA"/>
    <w:rsid w:val="006A0EDD"/>
    <w:rsid w:val="006A1202"/>
    <w:rsid w:val="006A2458"/>
    <w:rsid w:val="006A25E5"/>
    <w:rsid w:val="006A2B46"/>
    <w:rsid w:val="006A32AA"/>
    <w:rsid w:val="006A336D"/>
    <w:rsid w:val="006A33B1"/>
    <w:rsid w:val="006A37B9"/>
    <w:rsid w:val="006A3907"/>
    <w:rsid w:val="006A3D0E"/>
    <w:rsid w:val="006B091E"/>
    <w:rsid w:val="006B1065"/>
    <w:rsid w:val="006B2672"/>
    <w:rsid w:val="006B299F"/>
    <w:rsid w:val="006B54BF"/>
    <w:rsid w:val="006B5F44"/>
    <w:rsid w:val="006B5F90"/>
    <w:rsid w:val="006B62E4"/>
    <w:rsid w:val="006B63E6"/>
    <w:rsid w:val="006B7D11"/>
    <w:rsid w:val="006B7E83"/>
    <w:rsid w:val="006C1312"/>
    <w:rsid w:val="006C1BBA"/>
    <w:rsid w:val="006C2079"/>
    <w:rsid w:val="006C3E20"/>
    <w:rsid w:val="006C5A62"/>
    <w:rsid w:val="006C5B95"/>
    <w:rsid w:val="006C5D68"/>
    <w:rsid w:val="006C6976"/>
    <w:rsid w:val="006C6DD0"/>
    <w:rsid w:val="006D04EA"/>
    <w:rsid w:val="006D0ED3"/>
    <w:rsid w:val="006D103B"/>
    <w:rsid w:val="006D16C4"/>
    <w:rsid w:val="006D1F09"/>
    <w:rsid w:val="006D1F1B"/>
    <w:rsid w:val="006D3E96"/>
    <w:rsid w:val="006D4515"/>
    <w:rsid w:val="006D4799"/>
    <w:rsid w:val="006D47FE"/>
    <w:rsid w:val="006D4BB1"/>
    <w:rsid w:val="006D6593"/>
    <w:rsid w:val="006D6BEE"/>
    <w:rsid w:val="006D70E1"/>
    <w:rsid w:val="006E0AAA"/>
    <w:rsid w:val="006E1BEA"/>
    <w:rsid w:val="006E23EA"/>
    <w:rsid w:val="006E2B3C"/>
    <w:rsid w:val="006E3F50"/>
    <w:rsid w:val="006F03A8"/>
    <w:rsid w:val="006F0CC4"/>
    <w:rsid w:val="006F123E"/>
    <w:rsid w:val="006F2ACA"/>
    <w:rsid w:val="006F2ADC"/>
    <w:rsid w:val="006F2BFE"/>
    <w:rsid w:val="006F31E9"/>
    <w:rsid w:val="006F4D83"/>
    <w:rsid w:val="006F6284"/>
    <w:rsid w:val="006F79B9"/>
    <w:rsid w:val="006F79BD"/>
    <w:rsid w:val="007002C5"/>
    <w:rsid w:val="00700343"/>
    <w:rsid w:val="00700805"/>
    <w:rsid w:val="00700B31"/>
    <w:rsid w:val="007013C5"/>
    <w:rsid w:val="007034E7"/>
    <w:rsid w:val="00703551"/>
    <w:rsid w:val="0070357C"/>
    <w:rsid w:val="00704387"/>
    <w:rsid w:val="007047DD"/>
    <w:rsid w:val="00705C93"/>
    <w:rsid w:val="007071A0"/>
    <w:rsid w:val="00707669"/>
    <w:rsid w:val="00707F53"/>
    <w:rsid w:val="00707FE0"/>
    <w:rsid w:val="007114E3"/>
    <w:rsid w:val="00711CBA"/>
    <w:rsid w:val="00711FB5"/>
    <w:rsid w:val="00712214"/>
    <w:rsid w:val="00712496"/>
    <w:rsid w:val="00712A01"/>
    <w:rsid w:val="00713213"/>
    <w:rsid w:val="00714F58"/>
    <w:rsid w:val="00721129"/>
    <w:rsid w:val="00721B82"/>
    <w:rsid w:val="00721BDF"/>
    <w:rsid w:val="00722915"/>
    <w:rsid w:val="00722FBF"/>
    <w:rsid w:val="00722FC2"/>
    <w:rsid w:val="00724879"/>
    <w:rsid w:val="00724DDB"/>
    <w:rsid w:val="00724E1B"/>
    <w:rsid w:val="00725949"/>
    <w:rsid w:val="00727CD1"/>
    <w:rsid w:val="00727FA2"/>
    <w:rsid w:val="00730223"/>
    <w:rsid w:val="00730DE4"/>
    <w:rsid w:val="007322D9"/>
    <w:rsid w:val="00732BC0"/>
    <w:rsid w:val="00733EAD"/>
    <w:rsid w:val="00735DCF"/>
    <w:rsid w:val="00736E6D"/>
    <w:rsid w:val="0073720F"/>
    <w:rsid w:val="00737796"/>
    <w:rsid w:val="007414B0"/>
    <w:rsid w:val="0074165C"/>
    <w:rsid w:val="00741FE0"/>
    <w:rsid w:val="00742750"/>
    <w:rsid w:val="007427CB"/>
    <w:rsid w:val="00742C35"/>
    <w:rsid w:val="007432CA"/>
    <w:rsid w:val="00743936"/>
    <w:rsid w:val="007439EB"/>
    <w:rsid w:val="00743CB4"/>
    <w:rsid w:val="00743F0A"/>
    <w:rsid w:val="007444E8"/>
    <w:rsid w:val="0074548E"/>
    <w:rsid w:val="00745773"/>
    <w:rsid w:val="00745DC8"/>
    <w:rsid w:val="00746800"/>
    <w:rsid w:val="00746844"/>
    <w:rsid w:val="00746C40"/>
    <w:rsid w:val="0074726E"/>
    <w:rsid w:val="00747CFC"/>
    <w:rsid w:val="007501A8"/>
    <w:rsid w:val="00750D61"/>
    <w:rsid w:val="00750EE1"/>
    <w:rsid w:val="00751B9C"/>
    <w:rsid w:val="007526F0"/>
    <w:rsid w:val="00752B4D"/>
    <w:rsid w:val="0075344D"/>
    <w:rsid w:val="007540F3"/>
    <w:rsid w:val="00754322"/>
    <w:rsid w:val="007553E7"/>
    <w:rsid w:val="00755402"/>
    <w:rsid w:val="00756B26"/>
    <w:rsid w:val="00756EDF"/>
    <w:rsid w:val="007600E3"/>
    <w:rsid w:val="0076057F"/>
    <w:rsid w:val="00760FFC"/>
    <w:rsid w:val="00761517"/>
    <w:rsid w:val="00762C4A"/>
    <w:rsid w:val="0076484D"/>
    <w:rsid w:val="007650B9"/>
    <w:rsid w:val="00765C43"/>
    <w:rsid w:val="00765E76"/>
    <w:rsid w:val="00765EFB"/>
    <w:rsid w:val="007671CA"/>
    <w:rsid w:val="00767C61"/>
    <w:rsid w:val="0077008A"/>
    <w:rsid w:val="007708E2"/>
    <w:rsid w:val="00770D1E"/>
    <w:rsid w:val="00773BEA"/>
    <w:rsid w:val="00773C1F"/>
    <w:rsid w:val="00774DA4"/>
    <w:rsid w:val="00776599"/>
    <w:rsid w:val="0077710B"/>
    <w:rsid w:val="0077794C"/>
    <w:rsid w:val="00780FDD"/>
    <w:rsid w:val="0078114B"/>
    <w:rsid w:val="00781DD2"/>
    <w:rsid w:val="007831C1"/>
    <w:rsid w:val="00783B3F"/>
    <w:rsid w:val="00783ECF"/>
    <w:rsid w:val="0078413A"/>
    <w:rsid w:val="007842B5"/>
    <w:rsid w:val="00786A9D"/>
    <w:rsid w:val="007878BB"/>
    <w:rsid w:val="007907B0"/>
    <w:rsid w:val="00790C13"/>
    <w:rsid w:val="007921EB"/>
    <w:rsid w:val="00794C54"/>
    <w:rsid w:val="007959E8"/>
    <w:rsid w:val="00795E9C"/>
    <w:rsid w:val="00797232"/>
    <w:rsid w:val="007A0521"/>
    <w:rsid w:val="007A1365"/>
    <w:rsid w:val="007A2E12"/>
    <w:rsid w:val="007A3475"/>
    <w:rsid w:val="007A41C8"/>
    <w:rsid w:val="007A54CE"/>
    <w:rsid w:val="007A5B44"/>
    <w:rsid w:val="007A6FD9"/>
    <w:rsid w:val="007A7D4A"/>
    <w:rsid w:val="007A7FFA"/>
    <w:rsid w:val="007B04EB"/>
    <w:rsid w:val="007B0CB7"/>
    <w:rsid w:val="007B0D4F"/>
    <w:rsid w:val="007B1B9A"/>
    <w:rsid w:val="007B266D"/>
    <w:rsid w:val="007B267B"/>
    <w:rsid w:val="007B367B"/>
    <w:rsid w:val="007B5844"/>
    <w:rsid w:val="007B5A3D"/>
    <w:rsid w:val="007B5B95"/>
    <w:rsid w:val="007B67E7"/>
    <w:rsid w:val="007B68EA"/>
    <w:rsid w:val="007B6E84"/>
    <w:rsid w:val="007B7453"/>
    <w:rsid w:val="007C00DE"/>
    <w:rsid w:val="007C15C0"/>
    <w:rsid w:val="007C1E8B"/>
    <w:rsid w:val="007C2D89"/>
    <w:rsid w:val="007C40A4"/>
    <w:rsid w:val="007C4593"/>
    <w:rsid w:val="007C45F3"/>
    <w:rsid w:val="007C470B"/>
    <w:rsid w:val="007C4BBC"/>
    <w:rsid w:val="007C5031"/>
    <w:rsid w:val="007C5309"/>
    <w:rsid w:val="007C6069"/>
    <w:rsid w:val="007C6C58"/>
    <w:rsid w:val="007D06C4"/>
    <w:rsid w:val="007D1352"/>
    <w:rsid w:val="007D2508"/>
    <w:rsid w:val="007D3451"/>
    <w:rsid w:val="007D346A"/>
    <w:rsid w:val="007D6518"/>
    <w:rsid w:val="007D755A"/>
    <w:rsid w:val="007D76BD"/>
    <w:rsid w:val="007D7DF1"/>
    <w:rsid w:val="007E07AA"/>
    <w:rsid w:val="007E0BF1"/>
    <w:rsid w:val="007E12A3"/>
    <w:rsid w:val="007E4D2F"/>
    <w:rsid w:val="007E592B"/>
    <w:rsid w:val="007E631B"/>
    <w:rsid w:val="007E65B1"/>
    <w:rsid w:val="007E6B11"/>
    <w:rsid w:val="007E7F2D"/>
    <w:rsid w:val="007F0ED8"/>
    <w:rsid w:val="007F0F63"/>
    <w:rsid w:val="007F1B26"/>
    <w:rsid w:val="007F48A5"/>
    <w:rsid w:val="007F548E"/>
    <w:rsid w:val="007F5A37"/>
    <w:rsid w:val="007F60CE"/>
    <w:rsid w:val="007F6414"/>
    <w:rsid w:val="007F737A"/>
    <w:rsid w:val="007F75CE"/>
    <w:rsid w:val="008013A4"/>
    <w:rsid w:val="00802798"/>
    <w:rsid w:val="008027CE"/>
    <w:rsid w:val="00802F42"/>
    <w:rsid w:val="00803C6C"/>
    <w:rsid w:val="00804383"/>
    <w:rsid w:val="00804BB7"/>
    <w:rsid w:val="00804D41"/>
    <w:rsid w:val="00804FE5"/>
    <w:rsid w:val="008054E2"/>
    <w:rsid w:val="00805997"/>
    <w:rsid w:val="00807701"/>
    <w:rsid w:val="00807A03"/>
    <w:rsid w:val="00810257"/>
    <w:rsid w:val="008104F5"/>
    <w:rsid w:val="00810944"/>
    <w:rsid w:val="00811072"/>
    <w:rsid w:val="00811369"/>
    <w:rsid w:val="008127A0"/>
    <w:rsid w:val="0081425B"/>
    <w:rsid w:val="00815419"/>
    <w:rsid w:val="008163C8"/>
    <w:rsid w:val="008164A1"/>
    <w:rsid w:val="00817325"/>
    <w:rsid w:val="00817ECF"/>
    <w:rsid w:val="00817F28"/>
    <w:rsid w:val="00820066"/>
    <w:rsid w:val="008203B7"/>
    <w:rsid w:val="008209E6"/>
    <w:rsid w:val="00821520"/>
    <w:rsid w:val="00822389"/>
    <w:rsid w:val="00823303"/>
    <w:rsid w:val="008233B2"/>
    <w:rsid w:val="00823A9F"/>
    <w:rsid w:val="00823C85"/>
    <w:rsid w:val="00825138"/>
    <w:rsid w:val="008269DD"/>
    <w:rsid w:val="00827029"/>
    <w:rsid w:val="00830621"/>
    <w:rsid w:val="00830816"/>
    <w:rsid w:val="008322D8"/>
    <w:rsid w:val="008328FA"/>
    <w:rsid w:val="0083348C"/>
    <w:rsid w:val="00833C76"/>
    <w:rsid w:val="00834AFF"/>
    <w:rsid w:val="00834EFB"/>
    <w:rsid w:val="008350AC"/>
    <w:rsid w:val="00836483"/>
    <w:rsid w:val="00836574"/>
    <w:rsid w:val="0083705D"/>
    <w:rsid w:val="008373D3"/>
    <w:rsid w:val="00837A58"/>
    <w:rsid w:val="00840230"/>
    <w:rsid w:val="008404B7"/>
    <w:rsid w:val="00840617"/>
    <w:rsid w:val="0084077B"/>
    <w:rsid w:val="00840F84"/>
    <w:rsid w:val="00842A47"/>
    <w:rsid w:val="00843106"/>
    <w:rsid w:val="00843C13"/>
    <w:rsid w:val="008443B6"/>
    <w:rsid w:val="008454F8"/>
    <w:rsid w:val="00845534"/>
    <w:rsid w:val="00846613"/>
    <w:rsid w:val="008501C1"/>
    <w:rsid w:val="0085173A"/>
    <w:rsid w:val="008534A5"/>
    <w:rsid w:val="00853A94"/>
    <w:rsid w:val="00854B15"/>
    <w:rsid w:val="0085502D"/>
    <w:rsid w:val="00856316"/>
    <w:rsid w:val="00856707"/>
    <w:rsid w:val="00857CE3"/>
    <w:rsid w:val="008603CE"/>
    <w:rsid w:val="008608B6"/>
    <w:rsid w:val="00860D33"/>
    <w:rsid w:val="008611C0"/>
    <w:rsid w:val="00861492"/>
    <w:rsid w:val="00861779"/>
    <w:rsid w:val="00861B67"/>
    <w:rsid w:val="00861E99"/>
    <w:rsid w:val="008620FC"/>
    <w:rsid w:val="00862426"/>
    <w:rsid w:val="008627A5"/>
    <w:rsid w:val="008636C6"/>
    <w:rsid w:val="00863E05"/>
    <w:rsid w:val="00864959"/>
    <w:rsid w:val="008656D5"/>
    <w:rsid w:val="00865ACA"/>
    <w:rsid w:val="00865D28"/>
    <w:rsid w:val="00865F85"/>
    <w:rsid w:val="0086689F"/>
    <w:rsid w:val="00867380"/>
    <w:rsid w:val="00867C10"/>
    <w:rsid w:val="008703F5"/>
    <w:rsid w:val="00870439"/>
    <w:rsid w:val="00870630"/>
    <w:rsid w:val="00870DA1"/>
    <w:rsid w:val="008723D4"/>
    <w:rsid w:val="008737D6"/>
    <w:rsid w:val="0087494D"/>
    <w:rsid w:val="00874D2C"/>
    <w:rsid w:val="00875D09"/>
    <w:rsid w:val="00877384"/>
    <w:rsid w:val="008800C3"/>
    <w:rsid w:val="00883F93"/>
    <w:rsid w:val="00884DB3"/>
    <w:rsid w:val="00884E7A"/>
    <w:rsid w:val="0088506A"/>
    <w:rsid w:val="008855B6"/>
    <w:rsid w:val="00885A9D"/>
    <w:rsid w:val="00885DEA"/>
    <w:rsid w:val="008864F6"/>
    <w:rsid w:val="0089049D"/>
    <w:rsid w:val="008928C9"/>
    <w:rsid w:val="008930CB"/>
    <w:rsid w:val="008938DC"/>
    <w:rsid w:val="00893FD1"/>
    <w:rsid w:val="00894836"/>
    <w:rsid w:val="00895172"/>
    <w:rsid w:val="00895680"/>
    <w:rsid w:val="00896CD1"/>
    <w:rsid w:val="00896DFF"/>
    <w:rsid w:val="0089762C"/>
    <w:rsid w:val="00897AA4"/>
    <w:rsid w:val="008A0FB7"/>
    <w:rsid w:val="008A1893"/>
    <w:rsid w:val="008A2348"/>
    <w:rsid w:val="008A26CD"/>
    <w:rsid w:val="008A31FE"/>
    <w:rsid w:val="008A3215"/>
    <w:rsid w:val="008A42A5"/>
    <w:rsid w:val="008A5710"/>
    <w:rsid w:val="008A57E6"/>
    <w:rsid w:val="008A6BC1"/>
    <w:rsid w:val="008A6DE9"/>
    <w:rsid w:val="008A6F81"/>
    <w:rsid w:val="008A7024"/>
    <w:rsid w:val="008A769A"/>
    <w:rsid w:val="008B0C9C"/>
    <w:rsid w:val="008B166D"/>
    <w:rsid w:val="008B17F4"/>
    <w:rsid w:val="008B2496"/>
    <w:rsid w:val="008B3615"/>
    <w:rsid w:val="008B4AC4"/>
    <w:rsid w:val="008B50C8"/>
    <w:rsid w:val="008B5281"/>
    <w:rsid w:val="008B7E05"/>
    <w:rsid w:val="008C0206"/>
    <w:rsid w:val="008C1797"/>
    <w:rsid w:val="008C219C"/>
    <w:rsid w:val="008C27E9"/>
    <w:rsid w:val="008C475E"/>
    <w:rsid w:val="008C5A54"/>
    <w:rsid w:val="008C5B07"/>
    <w:rsid w:val="008C5D08"/>
    <w:rsid w:val="008C60CA"/>
    <w:rsid w:val="008C619A"/>
    <w:rsid w:val="008C6B84"/>
    <w:rsid w:val="008D04A9"/>
    <w:rsid w:val="008D0CE8"/>
    <w:rsid w:val="008D217E"/>
    <w:rsid w:val="008D2D1D"/>
    <w:rsid w:val="008D2EB7"/>
    <w:rsid w:val="008D453D"/>
    <w:rsid w:val="008D53AD"/>
    <w:rsid w:val="008D562B"/>
    <w:rsid w:val="008D5733"/>
    <w:rsid w:val="008D622B"/>
    <w:rsid w:val="008D666C"/>
    <w:rsid w:val="008D774C"/>
    <w:rsid w:val="008D7B54"/>
    <w:rsid w:val="008E02BD"/>
    <w:rsid w:val="008E0C9D"/>
    <w:rsid w:val="008E1648"/>
    <w:rsid w:val="008E1B3E"/>
    <w:rsid w:val="008E1F43"/>
    <w:rsid w:val="008E2319"/>
    <w:rsid w:val="008E4BB6"/>
    <w:rsid w:val="008E5518"/>
    <w:rsid w:val="008E6140"/>
    <w:rsid w:val="008E6570"/>
    <w:rsid w:val="008E6A84"/>
    <w:rsid w:val="008F006A"/>
    <w:rsid w:val="008F0CDC"/>
    <w:rsid w:val="008F15B6"/>
    <w:rsid w:val="008F17A3"/>
    <w:rsid w:val="008F1ED3"/>
    <w:rsid w:val="008F23A5"/>
    <w:rsid w:val="008F4C29"/>
    <w:rsid w:val="008F642C"/>
    <w:rsid w:val="008F65F4"/>
    <w:rsid w:val="008F6EDC"/>
    <w:rsid w:val="008F703D"/>
    <w:rsid w:val="008F70BD"/>
    <w:rsid w:val="008F7253"/>
    <w:rsid w:val="008F788F"/>
    <w:rsid w:val="008F7EA2"/>
    <w:rsid w:val="00900F47"/>
    <w:rsid w:val="00902722"/>
    <w:rsid w:val="009027BC"/>
    <w:rsid w:val="009032C3"/>
    <w:rsid w:val="00903324"/>
    <w:rsid w:val="009062E6"/>
    <w:rsid w:val="009069F3"/>
    <w:rsid w:val="0090731E"/>
    <w:rsid w:val="009102D6"/>
    <w:rsid w:val="009104E2"/>
    <w:rsid w:val="009108FC"/>
    <w:rsid w:val="00911BE5"/>
    <w:rsid w:val="0091390D"/>
    <w:rsid w:val="00913CA9"/>
    <w:rsid w:val="009145AE"/>
    <w:rsid w:val="009146CE"/>
    <w:rsid w:val="00914CA7"/>
    <w:rsid w:val="00915512"/>
    <w:rsid w:val="00915C3E"/>
    <w:rsid w:val="009161A8"/>
    <w:rsid w:val="00916577"/>
    <w:rsid w:val="00916E8D"/>
    <w:rsid w:val="00922709"/>
    <w:rsid w:val="009245F5"/>
    <w:rsid w:val="009249EC"/>
    <w:rsid w:val="009273B3"/>
    <w:rsid w:val="0092781D"/>
    <w:rsid w:val="00927BCE"/>
    <w:rsid w:val="009305B5"/>
    <w:rsid w:val="0093082B"/>
    <w:rsid w:val="00932DE4"/>
    <w:rsid w:val="009406C6"/>
    <w:rsid w:val="00941012"/>
    <w:rsid w:val="009423E2"/>
    <w:rsid w:val="009429D5"/>
    <w:rsid w:val="00942A3E"/>
    <w:rsid w:val="00942BF1"/>
    <w:rsid w:val="00942D46"/>
    <w:rsid w:val="0094309E"/>
    <w:rsid w:val="009440A0"/>
    <w:rsid w:val="00944873"/>
    <w:rsid w:val="00945180"/>
    <w:rsid w:val="00945428"/>
    <w:rsid w:val="0094607B"/>
    <w:rsid w:val="00946B91"/>
    <w:rsid w:val="009503CD"/>
    <w:rsid w:val="0095123E"/>
    <w:rsid w:val="0095154C"/>
    <w:rsid w:val="00953604"/>
    <w:rsid w:val="0095496B"/>
    <w:rsid w:val="009565BC"/>
    <w:rsid w:val="009610DC"/>
    <w:rsid w:val="00961490"/>
    <w:rsid w:val="0096381A"/>
    <w:rsid w:val="00965CB2"/>
    <w:rsid w:val="00965E04"/>
    <w:rsid w:val="009674AD"/>
    <w:rsid w:val="0096764F"/>
    <w:rsid w:val="0097094D"/>
    <w:rsid w:val="00970BD7"/>
    <w:rsid w:val="00970CDC"/>
    <w:rsid w:val="00971149"/>
    <w:rsid w:val="009748D1"/>
    <w:rsid w:val="00974DEA"/>
    <w:rsid w:val="00974FA2"/>
    <w:rsid w:val="00975327"/>
    <w:rsid w:val="009759E7"/>
    <w:rsid w:val="00976604"/>
    <w:rsid w:val="00977010"/>
    <w:rsid w:val="00977C3F"/>
    <w:rsid w:val="00977D02"/>
    <w:rsid w:val="00980046"/>
    <w:rsid w:val="0098012E"/>
    <w:rsid w:val="00980329"/>
    <w:rsid w:val="009809BB"/>
    <w:rsid w:val="00980B7A"/>
    <w:rsid w:val="0098364B"/>
    <w:rsid w:val="00983B81"/>
    <w:rsid w:val="00983CF4"/>
    <w:rsid w:val="00984667"/>
    <w:rsid w:val="00984F03"/>
    <w:rsid w:val="00987A66"/>
    <w:rsid w:val="00987F61"/>
    <w:rsid w:val="0099114A"/>
    <w:rsid w:val="009911AF"/>
    <w:rsid w:val="00991875"/>
    <w:rsid w:val="00991F92"/>
    <w:rsid w:val="00992985"/>
    <w:rsid w:val="009931A8"/>
    <w:rsid w:val="009934E0"/>
    <w:rsid w:val="00993889"/>
    <w:rsid w:val="009947D1"/>
    <w:rsid w:val="0099551B"/>
    <w:rsid w:val="00996441"/>
    <w:rsid w:val="0099671A"/>
    <w:rsid w:val="00997BF1"/>
    <w:rsid w:val="009A089C"/>
    <w:rsid w:val="009A1058"/>
    <w:rsid w:val="009A118E"/>
    <w:rsid w:val="009A21CD"/>
    <w:rsid w:val="009A278C"/>
    <w:rsid w:val="009A2BC2"/>
    <w:rsid w:val="009A2C67"/>
    <w:rsid w:val="009A314B"/>
    <w:rsid w:val="009A35F6"/>
    <w:rsid w:val="009A42C1"/>
    <w:rsid w:val="009A5429"/>
    <w:rsid w:val="009A5EE4"/>
    <w:rsid w:val="009A72AD"/>
    <w:rsid w:val="009A767E"/>
    <w:rsid w:val="009B055D"/>
    <w:rsid w:val="009B09E0"/>
    <w:rsid w:val="009B0BC5"/>
    <w:rsid w:val="009B1247"/>
    <w:rsid w:val="009B187F"/>
    <w:rsid w:val="009B18A1"/>
    <w:rsid w:val="009B20A2"/>
    <w:rsid w:val="009B2A66"/>
    <w:rsid w:val="009B57D6"/>
    <w:rsid w:val="009B6029"/>
    <w:rsid w:val="009B6971"/>
    <w:rsid w:val="009B7FEA"/>
    <w:rsid w:val="009C0C24"/>
    <w:rsid w:val="009C1AD3"/>
    <w:rsid w:val="009C27F1"/>
    <w:rsid w:val="009C2DD4"/>
    <w:rsid w:val="009C3152"/>
    <w:rsid w:val="009C318E"/>
    <w:rsid w:val="009C3302"/>
    <w:rsid w:val="009C3E9A"/>
    <w:rsid w:val="009C3EA4"/>
    <w:rsid w:val="009C4772"/>
    <w:rsid w:val="009C4CFA"/>
    <w:rsid w:val="009C5070"/>
    <w:rsid w:val="009C5336"/>
    <w:rsid w:val="009C5BB2"/>
    <w:rsid w:val="009D0161"/>
    <w:rsid w:val="009D112C"/>
    <w:rsid w:val="009D22DC"/>
    <w:rsid w:val="009D2787"/>
    <w:rsid w:val="009D4139"/>
    <w:rsid w:val="009D47FA"/>
    <w:rsid w:val="009D4C5B"/>
    <w:rsid w:val="009D50D2"/>
    <w:rsid w:val="009D631D"/>
    <w:rsid w:val="009D6BCA"/>
    <w:rsid w:val="009E0489"/>
    <w:rsid w:val="009E0750"/>
    <w:rsid w:val="009E0F62"/>
    <w:rsid w:val="009E1DA4"/>
    <w:rsid w:val="009E4A58"/>
    <w:rsid w:val="009E5A2D"/>
    <w:rsid w:val="009E5AB2"/>
    <w:rsid w:val="009E6219"/>
    <w:rsid w:val="009E6D23"/>
    <w:rsid w:val="009F03B3"/>
    <w:rsid w:val="009F2477"/>
    <w:rsid w:val="009F3667"/>
    <w:rsid w:val="009F4820"/>
    <w:rsid w:val="009F562F"/>
    <w:rsid w:val="00A0096C"/>
    <w:rsid w:val="00A00CF2"/>
    <w:rsid w:val="00A01200"/>
    <w:rsid w:val="00A014CB"/>
    <w:rsid w:val="00A01757"/>
    <w:rsid w:val="00A024E0"/>
    <w:rsid w:val="00A028C0"/>
    <w:rsid w:val="00A02BAE"/>
    <w:rsid w:val="00A05678"/>
    <w:rsid w:val="00A05CD9"/>
    <w:rsid w:val="00A06A6B"/>
    <w:rsid w:val="00A06ECA"/>
    <w:rsid w:val="00A07E47"/>
    <w:rsid w:val="00A10932"/>
    <w:rsid w:val="00A109E9"/>
    <w:rsid w:val="00A110CF"/>
    <w:rsid w:val="00A11745"/>
    <w:rsid w:val="00A129D0"/>
    <w:rsid w:val="00A12C33"/>
    <w:rsid w:val="00A1363F"/>
    <w:rsid w:val="00A138BA"/>
    <w:rsid w:val="00A14C8E"/>
    <w:rsid w:val="00A153D9"/>
    <w:rsid w:val="00A15F09"/>
    <w:rsid w:val="00A169B6"/>
    <w:rsid w:val="00A174C4"/>
    <w:rsid w:val="00A20770"/>
    <w:rsid w:val="00A2271D"/>
    <w:rsid w:val="00A237D5"/>
    <w:rsid w:val="00A30ACD"/>
    <w:rsid w:val="00A30EFC"/>
    <w:rsid w:val="00A31831"/>
    <w:rsid w:val="00A31984"/>
    <w:rsid w:val="00A31E3B"/>
    <w:rsid w:val="00A32744"/>
    <w:rsid w:val="00A32D73"/>
    <w:rsid w:val="00A3367B"/>
    <w:rsid w:val="00A34359"/>
    <w:rsid w:val="00A3597D"/>
    <w:rsid w:val="00A368C8"/>
    <w:rsid w:val="00A368D0"/>
    <w:rsid w:val="00A36CD3"/>
    <w:rsid w:val="00A36DD1"/>
    <w:rsid w:val="00A37288"/>
    <w:rsid w:val="00A37CC1"/>
    <w:rsid w:val="00A4006C"/>
    <w:rsid w:val="00A40091"/>
    <w:rsid w:val="00A4030F"/>
    <w:rsid w:val="00A41C79"/>
    <w:rsid w:val="00A41CB5"/>
    <w:rsid w:val="00A42CDF"/>
    <w:rsid w:val="00A4452E"/>
    <w:rsid w:val="00A44675"/>
    <w:rsid w:val="00A4472C"/>
    <w:rsid w:val="00A44781"/>
    <w:rsid w:val="00A4494A"/>
    <w:rsid w:val="00A44E69"/>
    <w:rsid w:val="00A45CCB"/>
    <w:rsid w:val="00A463FC"/>
    <w:rsid w:val="00A4661E"/>
    <w:rsid w:val="00A4684B"/>
    <w:rsid w:val="00A5049F"/>
    <w:rsid w:val="00A504FF"/>
    <w:rsid w:val="00A518DC"/>
    <w:rsid w:val="00A524AA"/>
    <w:rsid w:val="00A528A5"/>
    <w:rsid w:val="00A531F6"/>
    <w:rsid w:val="00A54C30"/>
    <w:rsid w:val="00A54CEC"/>
    <w:rsid w:val="00A55BD6"/>
    <w:rsid w:val="00A55D50"/>
    <w:rsid w:val="00A57142"/>
    <w:rsid w:val="00A572A5"/>
    <w:rsid w:val="00A574D7"/>
    <w:rsid w:val="00A57852"/>
    <w:rsid w:val="00A57FF1"/>
    <w:rsid w:val="00A648CD"/>
    <w:rsid w:val="00A6537A"/>
    <w:rsid w:val="00A6676A"/>
    <w:rsid w:val="00A66A8C"/>
    <w:rsid w:val="00A67866"/>
    <w:rsid w:val="00A70B07"/>
    <w:rsid w:val="00A70B1F"/>
    <w:rsid w:val="00A70DDE"/>
    <w:rsid w:val="00A71407"/>
    <w:rsid w:val="00A723F8"/>
    <w:rsid w:val="00A725F3"/>
    <w:rsid w:val="00A7324B"/>
    <w:rsid w:val="00A733F5"/>
    <w:rsid w:val="00A746FF"/>
    <w:rsid w:val="00A75D6B"/>
    <w:rsid w:val="00A77CCB"/>
    <w:rsid w:val="00A81020"/>
    <w:rsid w:val="00A814CD"/>
    <w:rsid w:val="00A83516"/>
    <w:rsid w:val="00A836F6"/>
    <w:rsid w:val="00A83D8D"/>
    <w:rsid w:val="00A8446B"/>
    <w:rsid w:val="00A8473F"/>
    <w:rsid w:val="00A84E5F"/>
    <w:rsid w:val="00A862D6"/>
    <w:rsid w:val="00A8675E"/>
    <w:rsid w:val="00A8715E"/>
    <w:rsid w:val="00A900FE"/>
    <w:rsid w:val="00A90F78"/>
    <w:rsid w:val="00A9295B"/>
    <w:rsid w:val="00A92E37"/>
    <w:rsid w:val="00A933DB"/>
    <w:rsid w:val="00A93B09"/>
    <w:rsid w:val="00A93BA1"/>
    <w:rsid w:val="00A94247"/>
    <w:rsid w:val="00A952D7"/>
    <w:rsid w:val="00A95BA8"/>
    <w:rsid w:val="00A963F7"/>
    <w:rsid w:val="00A96AD8"/>
    <w:rsid w:val="00A972E4"/>
    <w:rsid w:val="00A97BE2"/>
    <w:rsid w:val="00AA052C"/>
    <w:rsid w:val="00AA1E45"/>
    <w:rsid w:val="00AA4286"/>
    <w:rsid w:val="00AA456B"/>
    <w:rsid w:val="00AA5585"/>
    <w:rsid w:val="00AA57F5"/>
    <w:rsid w:val="00AA61E5"/>
    <w:rsid w:val="00AA672E"/>
    <w:rsid w:val="00AA6DBC"/>
    <w:rsid w:val="00AA6EC9"/>
    <w:rsid w:val="00AB037D"/>
    <w:rsid w:val="00AB1735"/>
    <w:rsid w:val="00AB19CF"/>
    <w:rsid w:val="00AB1B7C"/>
    <w:rsid w:val="00AB1F16"/>
    <w:rsid w:val="00AB2413"/>
    <w:rsid w:val="00AB41D5"/>
    <w:rsid w:val="00AB58E7"/>
    <w:rsid w:val="00AB6309"/>
    <w:rsid w:val="00AB657E"/>
    <w:rsid w:val="00AB6C5F"/>
    <w:rsid w:val="00AB7129"/>
    <w:rsid w:val="00AC0C14"/>
    <w:rsid w:val="00AC1149"/>
    <w:rsid w:val="00AC27A6"/>
    <w:rsid w:val="00AC30F7"/>
    <w:rsid w:val="00AC3A5A"/>
    <w:rsid w:val="00AC3E7A"/>
    <w:rsid w:val="00AC43C3"/>
    <w:rsid w:val="00AC4D95"/>
    <w:rsid w:val="00AC51EB"/>
    <w:rsid w:val="00AC547C"/>
    <w:rsid w:val="00AC5DF4"/>
    <w:rsid w:val="00AC7429"/>
    <w:rsid w:val="00AD06BE"/>
    <w:rsid w:val="00AD0AEF"/>
    <w:rsid w:val="00AD11B7"/>
    <w:rsid w:val="00AD1A94"/>
    <w:rsid w:val="00AD1C05"/>
    <w:rsid w:val="00AD288A"/>
    <w:rsid w:val="00AD2BBB"/>
    <w:rsid w:val="00AD330C"/>
    <w:rsid w:val="00AD342C"/>
    <w:rsid w:val="00AD3D97"/>
    <w:rsid w:val="00AD3E01"/>
    <w:rsid w:val="00AD4126"/>
    <w:rsid w:val="00AD421C"/>
    <w:rsid w:val="00AD44FA"/>
    <w:rsid w:val="00AD45D5"/>
    <w:rsid w:val="00AD50C0"/>
    <w:rsid w:val="00AD52D1"/>
    <w:rsid w:val="00AD61F2"/>
    <w:rsid w:val="00AE01E0"/>
    <w:rsid w:val="00AE070A"/>
    <w:rsid w:val="00AE101C"/>
    <w:rsid w:val="00AE1F91"/>
    <w:rsid w:val="00AE30D0"/>
    <w:rsid w:val="00AE37E5"/>
    <w:rsid w:val="00AE3A35"/>
    <w:rsid w:val="00AE3FD5"/>
    <w:rsid w:val="00AE43DA"/>
    <w:rsid w:val="00AE5EB4"/>
    <w:rsid w:val="00AE6C74"/>
    <w:rsid w:val="00AE7A18"/>
    <w:rsid w:val="00AE7F52"/>
    <w:rsid w:val="00AF0C18"/>
    <w:rsid w:val="00AF19C4"/>
    <w:rsid w:val="00AF1C8D"/>
    <w:rsid w:val="00AF26FA"/>
    <w:rsid w:val="00AF47C5"/>
    <w:rsid w:val="00AF5175"/>
    <w:rsid w:val="00AF5398"/>
    <w:rsid w:val="00AF550D"/>
    <w:rsid w:val="00B00276"/>
    <w:rsid w:val="00B04065"/>
    <w:rsid w:val="00B049AF"/>
    <w:rsid w:val="00B0582A"/>
    <w:rsid w:val="00B07242"/>
    <w:rsid w:val="00B10534"/>
    <w:rsid w:val="00B10921"/>
    <w:rsid w:val="00B113DB"/>
    <w:rsid w:val="00B11CC2"/>
    <w:rsid w:val="00B11D8A"/>
    <w:rsid w:val="00B12981"/>
    <w:rsid w:val="00B147DD"/>
    <w:rsid w:val="00B156FD"/>
    <w:rsid w:val="00B173C7"/>
    <w:rsid w:val="00B213F6"/>
    <w:rsid w:val="00B21F61"/>
    <w:rsid w:val="00B2221B"/>
    <w:rsid w:val="00B261F1"/>
    <w:rsid w:val="00B2637A"/>
    <w:rsid w:val="00B265BC"/>
    <w:rsid w:val="00B271E0"/>
    <w:rsid w:val="00B272D6"/>
    <w:rsid w:val="00B275FB"/>
    <w:rsid w:val="00B30779"/>
    <w:rsid w:val="00B308A4"/>
    <w:rsid w:val="00B314F4"/>
    <w:rsid w:val="00B3157E"/>
    <w:rsid w:val="00B316ED"/>
    <w:rsid w:val="00B31FB1"/>
    <w:rsid w:val="00B32645"/>
    <w:rsid w:val="00B33952"/>
    <w:rsid w:val="00B33959"/>
    <w:rsid w:val="00B33C5E"/>
    <w:rsid w:val="00B342F4"/>
    <w:rsid w:val="00B34369"/>
    <w:rsid w:val="00B34DC2"/>
    <w:rsid w:val="00B354C8"/>
    <w:rsid w:val="00B378E5"/>
    <w:rsid w:val="00B41327"/>
    <w:rsid w:val="00B4346D"/>
    <w:rsid w:val="00B4367F"/>
    <w:rsid w:val="00B43A66"/>
    <w:rsid w:val="00B440F4"/>
    <w:rsid w:val="00B447A5"/>
    <w:rsid w:val="00B44DC4"/>
    <w:rsid w:val="00B4562D"/>
    <w:rsid w:val="00B4608F"/>
    <w:rsid w:val="00B4654C"/>
    <w:rsid w:val="00B4660A"/>
    <w:rsid w:val="00B47293"/>
    <w:rsid w:val="00B472FD"/>
    <w:rsid w:val="00B47EE7"/>
    <w:rsid w:val="00B505D2"/>
    <w:rsid w:val="00B508B7"/>
    <w:rsid w:val="00B50E50"/>
    <w:rsid w:val="00B52120"/>
    <w:rsid w:val="00B53516"/>
    <w:rsid w:val="00B54ABC"/>
    <w:rsid w:val="00B54B96"/>
    <w:rsid w:val="00B54DDE"/>
    <w:rsid w:val="00B54E76"/>
    <w:rsid w:val="00B54F9C"/>
    <w:rsid w:val="00B55098"/>
    <w:rsid w:val="00B5615D"/>
    <w:rsid w:val="00B56FBE"/>
    <w:rsid w:val="00B571E4"/>
    <w:rsid w:val="00B60ACF"/>
    <w:rsid w:val="00B60DB6"/>
    <w:rsid w:val="00B62B58"/>
    <w:rsid w:val="00B62CBF"/>
    <w:rsid w:val="00B63ACD"/>
    <w:rsid w:val="00B65149"/>
    <w:rsid w:val="00B66567"/>
    <w:rsid w:val="00B66AC4"/>
    <w:rsid w:val="00B66F3C"/>
    <w:rsid w:val="00B66F52"/>
    <w:rsid w:val="00B66FE5"/>
    <w:rsid w:val="00B70804"/>
    <w:rsid w:val="00B72880"/>
    <w:rsid w:val="00B74225"/>
    <w:rsid w:val="00B7579D"/>
    <w:rsid w:val="00B758BF"/>
    <w:rsid w:val="00B76241"/>
    <w:rsid w:val="00B7795F"/>
    <w:rsid w:val="00B77EC8"/>
    <w:rsid w:val="00B81F09"/>
    <w:rsid w:val="00B827A6"/>
    <w:rsid w:val="00B831CE"/>
    <w:rsid w:val="00B84253"/>
    <w:rsid w:val="00B85570"/>
    <w:rsid w:val="00B86677"/>
    <w:rsid w:val="00B87131"/>
    <w:rsid w:val="00B90062"/>
    <w:rsid w:val="00B9020E"/>
    <w:rsid w:val="00B9032A"/>
    <w:rsid w:val="00B90638"/>
    <w:rsid w:val="00B92C51"/>
    <w:rsid w:val="00B939B1"/>
    <w:rsid w:val="00B93D38"/>
    <w:rsid w:val="00B93D83"/>
    <w:rsid w:val="00B96D40"/>
    <w:rsid w:val="00B97386"/>
    <w:rsid w:val="00B97D22"/>
    <w:rsid w:val="00BA001D"/>
    <w:rsid w:val="00BA09D0"/>
    <w:rsid w:val="00BA0C63"/>
    <w:rsid w:val="00BA263B"/>
    <w:rsid w:val="00BA3F49"/>
    <w:rsid w:val="00BA42B2"/>
    <w:rsid w:val="00BA5058"/>
    <w:rsid w:val="00BA58D4"/>
    <w:rsid w:val="00BA5A65"/>
    <w:rsid w:val="00BA5B9E"/>
    <w:rsid w:val="00BA65A3"/>
    <w:rsid w:val="00BA7101"/>
    <w:rsid w:val="00BA7C9A"/>
    <w:rsid w:val="00BA7E1F"/>
    <w:rsid w:val="00BB3D03"/>
    <w:rsid w:val="00BB4A97"/>
    <w:rsid w:val="00BB5F8F"/>
    <w:rsid w:val="00BB6264"/>
    <w:rsid w:val="00BB657A"/>
    <w:rsid w:val="00BB7AB8"/>
    <w:rsid w:val="00BC0E96"/>
    <w:rsid w:val="00BC1A4E"/>
    <w:rsid w:val="00BC3F1B"/>
    <w:rsid w:val="00BC5DC7"/>
    <w:rsid w:val="00BC606B"/>
    <w:rsid w:val="00BC6B8B"/>
    <w:rsid w:val="00BC73D8"/>
    <w:rsid w:val="00BD2057"/>
    <w:rsid w:val="00BD2BD8"/>
    <w:rsid w:val="00BD49EE"/>
    <w:rsid w:val="00BD52D7"/>
    <w:rsid w:val="00BD5AD2"/>
    <w:rsid w:val="00BE16E6"/>
    <w:rsid w:val="00BE1C67"/>
    <w:rsid w:val="00BE22F3"/>
    <w:rsid w:val="00BE29D3"/>
    <w:rsid w:val="00BE5B52"/>
    <w:rsid w:val="00BE6DB0"/>
    <w:rsid w:val="00BE7B8D"/>
    <w:rsid w:val="00BF0993"/>
    <w:rsid w:val="00BF10A9"/>
    <w:rsid w:val="00BF1703"/>
    <w:rsid w:val="00BF1C6C"/>
    <w:rsid w:val="00BF231C"/>
    <w:rsid w:val="00BF2A31"/>
    <w:rsid w:val="00BF3154"/>
    <w:rsid w:val="00BF3E12"/>
    <w:rsid w:val="00BF4505"/>
    <w:rsid w:val="00BF51E5"/>
    <w:rsid w:val="00BF53DC"/>
    <w:rsid w:val="00BF5D3C"/>
    <w:rsid w:val="00BF69F7"/>
    <w:rsid w:val="00BF6AE1"/>
    <w:rsid w:val="00BF71F8"/>
    <w:rsid w:val="00BF74A6"/>
    <w:rsid w:val="00C00981"/>
    <w:rsid w:val="00C00E3C"/>
    <w:rsid w:val="00C013AD"/>
    <w:rsid w:val="00C02752"/>
    <w:rsid w:val="00C02823"/>
    <w:rsid w:val="00C031D6"/>
    <w:rsid w:val="00C04904"/>
    <w:rsid w:val="00C056B3"/>
    <w:rsid w:val="00C071D6"/>
    <w:rsid w:val="00C103E5"/>
    <w:rsid w:val="00C11483"/>
    <w:rsid w:val="00C11CD8"/>
    <w:rsid w:val="00C11E0B"/>
    <w:rsid w:val="00C1224B"/>
    <w:rsid w:val="00C1286A"/>
    <w:rsid w:val="00C12876"/>
    <w:rsid w:val="00C13319"/>
    <w:rsid w:val="00C13AF3"/>
    <w:rsid w:val="00C13EE9"/>
    <w:rsid w:val="00C15D22"/>
    <w:rsid w:val="00C16690"/>
    <w:rsid w:val="00C16AA5"/>
    <w:rsid w:val="00C16ADD"/>
    <w:rsid w:val="00C20A51"/>
    <w:rsid w:val="00C21540"/>
    <w:rsid w:val="00C21906"/>
    <w:rsid w:val="00C21BFA"/>
    <w:rsid w:val="00C21EE7"/>
    <w:rsid w:val="00C21FDB"/>
    <w:rsid w:val="00C22148"/>
    <w:rsid w:val="00C23023"/>
    <w:rsid w:val="00C240FF"/>
    <w:rsid w:val="00C246B2"/>
    <w:rsid w:val="00C24C8D"/>
    <w:rsid w:val="00C25FE2"/>
    <w:rsid w:val="00C2649C"/>
    <w:rsid w:val="00C26B53"/>
    <w:rsid w:val="00C279B2"/>
    <w:rsid w:val="00C3074F"/>
    <w:rsid w:val="00C33E50"/>
    <w:rsid w:val="00C33E91"/>
    <w:rsid w:val="00C342B8"/>
    <w:rsid w:val="00C34BC8"/>
    <w:rsid w:val="00C34C20"/>
    <w:rsid w:val="00C34D03"/>
    <w:rsid w:val="00C35A3E"/>
    <w:rsid w:val="00C37BD0"/>
    <w:rsid w:val="00C42130"/>
    <w:rsid w:val="00C423A4"/>
    <w:rsid w:val="00C42640"/>
    <w:rsid w:val="00C44BF5"/>
    <w:rsid w:val="00C45B6C"/>
    <w:rsid w:val="00C463EC"/>
    <w:rsid w:val="00C50792"/>
    <w:rsid w:val="00C515A2"/>
    <w:rsid w:val="00C521D6"/>
    <w:rsid w:val="00C52C68"/>
    <w:rsid w:val="00C52D38"/>
    <w:rsid w:val="00C53556"/>
    <w:rsid w:val="00C55232"/>
    <w:rsid w:val="00C553A4"/>
    <w:rsid w:val="00C5543E"/>
    <w:rsid w:val="00C55A06"/>
    <w:rsid w:val="00C55D03"/>
    <w:rsid w:val="00C565FE"/>
    <w:rsid w:val="00C56643"/>
    <w:rsid w:val="00C56C05"/>
    <w:rsid w:val="00C601BC"/>
    <w:rsid w:val="00C60F23"/>
    <w:rsid w:val="00C62519"/>
    <w:rsid w:val="00C6329F"/>
    <w:rsid w:val="00C63340"/>
    <w:rsid w:val="00C643F9"/>
    <w:rsid w:val="00C64E95"/>
    <w:rsid w:val="00C67F0E"/>
    <w:rsid w:val="00C70312"/>
    <w:rsid w:val="00C71372"/>
    <w:rsid w:val="00C7200A"/>
    <w:rsid w:val="00C7214D"/>
    <w:rsid w:val="00C72410"/>
    <w:rsid w:val="00C7287F"/>
    <w:rsid w:val="00C72BD5"/>
    <w:rsid w:val="00C80CB8"/>
    <w:rsid w:val="00C80D65"/>
    <w:rsid w:val="00C819F8"/>
    <w:rsid w:val="00C82192"/>
    <w:rsid w:val="00C8248C"/>
    <w:rsid w:val="00C84E33"/>
    <w:rsid w:val="00C850D7"/>
    <w:rsid w:val="00C8646C"/>
    <w:rsid w:val="00C86D6F"/>
    <w:rsid w:val="00C87FAB"/>
    <w:rsid w:val="00C905FC"/>
    <w:rsid w:val="00C92372"/>
    <w:rsid w:val="00C92BD2"/>
    <w:rsid w:val="00C92D03"/>
    <w:rsid w:val="00C9319C"/>
    <w:rsid w:val="00C9435D"/>
    <w:rsid w:val="00C945BF"/>
    <w:rsid w:val="00C94DF2"/>
    <w:rsid w:val="00C95DB3"/>
    <w:rsid w:val="00C96741"/>
    <w:rsid w:val="00C96CA0"/>
    <w:rsid w:val="00CA17B5"/>
    <w:rsid w:val="00CA1814"/>
    <w:rsid w:val="00CA2D1B"/>
    <w:rsid w:val="00CA375D"/>
    <w:rsid w:val="00CA4088"/>
    <w:rsid w:val="00CA5286"/>
    <w:rsid w:val="00CA5A3C"/>
    <w:rsid w:val="00CA5C82"/>
    <w:rsid w:val="00CA5DB9"/>
    <w:rsid w:val="00CA662A"/>
    <w:rsid w:val="00CA664B"/>
    <w:rsid w:val="00CA67AA"/>
    <w:rsid w:val="00CA6F2B"/>
    <w:rsid w:val="00CA7AFD"/>
    <w:rsid w:val="00CA7C3C"/>
    <w:rsid w:val="00CB0189"/>
    <w:rsid w:val="00CB0229"/>
    <w:rsid w:val="00CB05CC"/>
    <w:rsid w:val="00CB0BA2"/>
    <w:rsid w:val="00CB0E03"/>
    <w:rsid w:val="00CB102F"/>
    <w:rsid w:val="00CB1415"/>
    <w:rsid w:val="00CB160A"/>
    <w:rsid w:val="00CB19F1"/>
    <w:rsid w:val="00CB1A42"/>
    <w:rsid w:val="00CB1B0C"/>
    <w:rsid w:val="00CB25FC"/>
    <w:rsid w:val="00CB2C0B"/>
    <w:rsid w:val="00CB4E0E"/>
    <w:rsid w:val="00CB517D"/>
    <w:rsid w:val="00CB54F5"/>
    <w:rsid w:val="00CB644D"/>
    <w:rsid w:val="00CC038D"/>
    <w:rsid w:val="00CC08DB"/>
    <w:rsid w:val="00CC1B70"/>
    <w:rsid w:val="00CC1C34"/>
    <w:rsid w:val="00CC2239"/>
    <w:rsid w:val="00CC3616"/>
    <w:rsid w:val="00CC39FF"/>
    <w:rsid w:val="00CC3C2F"/>
    <w:rsid w:val="00CC42C4"/>
    <w:rsid w:val="00CC4AC8"/>
    <w:rsid w:val="00CC5233"/>
    <w:rsid w:val="00CC5DE6"/>
    <w:rsid w:val="00CC6438"/>
    <w:rsid w:val="00CC662A"/>
    <w:rsid w:val="00CC685D"/>
    <w:rsid w:val="00CC6E4E"/>
    <w:rsid w:val="00CC6FE8"/>
    <w:rsid w:val="00CC7202"/>
    <w:rsid w:val="00CD0A8C"/>
    <w:rsid w:val="00CD0B26"/>
    <w:rsid w:val="00CD1257"/>
    <w:rsid w:val="00CD19CA"/>
    <w:rsid w:val="00CD2808"/>
    <w:rsid w:val="00CD28BF"/>
    <w:rsid w:val="00CD4092"/>
    <w:rsid w:val="00CD4748"/>
    <w:rsid w:val="00CD496D"/>
    <w:rsid w:val="00CD4A20"/>
    <w:rsid w:val="00CD4F1D"/>
    <w:rsid w:val="00CD50A1"/>
    <w:rsid w:val="00CD519E"/>
    <w:rsid w:val="00CE031C"/>
    <w:rsid w:val="00CE0C4F"/>
    <w:rsid w:val="00CE2809"/>
    <w:rsid w:val="00CE30EA"/>
    <w:rsid w:val="00CE4AAC"/>
    <w:rsid w:val="00CE61F3"/>
    <w:rsid w:val="00CE6F8C"/>
    <w:rsid w:val="00CF048A"/>
    <w:rsid w:val="00CF0C2E"/>
    <w:rsid w:val="00CF1045"/>
    <w:rsid w:val="00CF155A"/>
    <w:rsid w:val="00CF1CCF"/>
    <w:rsid w:val="00CF2947"/>
    <w:rsid w:val="00CF49FB"/>
    <w:rsid w:val="00CF5504"/>
    <w:rsid w:val="00CF686F"/>
    <w:rsid w:val="00CF6E60"/>
    <w:rsid w:val="00CF7BCA"/>
    <w:rsid w:val="00D008FD"/>
    <w:rsid w:val="00D00C21"/>
    <w:rsid w:val="00D01B83"/>
    <w:rsid w:val="00D02308"/>
    <w:rsid w:val="00D0321C"/>
    <w:rsid w:val="00D035EC"/>
    <w:rsid w:val="00D0361E"/>
    <w:rsid w:val="00D036CA"/>
    <w:rsid w:val="00D05EDE"/>
    <w:rsid w:val="00D06A9C"/>
    <w:rsid w:val="00D06AB1"/>
    <w:rsid w:val="00D06B59"/>
    <w:rsid w:val="00D072ED"/>
    <w:rsid w:val="00D07A16"/>
    <w:rsid w:val="00D07FE2"/>
    <w:rsid w:val="00D1067E"/>
    <w:rsid w:val="00D10CBC"/>
    <w:rsid w:val="00D10F50"/>
    <w:rsid w:val="00D11272"/>
    <w:rsid w:val="00D126F5"/>
    <w:rsid w:val="00D12B91"/>
    <w:rsid w:val="00D13676"/>
    <w:rsid w:val="00D1489E"/>
    <w:rsid w:val="00D1556D"/>
    <w:rsid w:val="00D20737"/>
    <w:rsid w:val="00D20B32"/>
    <w:rsid w:val="00D21BF7"/>
    <w:rsid w:val="00D21E81"/>
    <w:rsid w:val="00D223DE"/>
    <w:rsid w:val="00D22F1E"/>
    <w:rsid w:val="00D22FCE"/>
    <w:rsid w:val="00D2579E"/>
    <w:rsid w:val="00D25E37"/>
    <w:rsid w:val="00D2661A"/>
    <w:rsid w:val="00D27582"/>
    <w:rsid w:val="00D27EC4"/>
    <w:rsid w:val="00D31133"/>
    <w:rsid w:val="00D311D0"/>
    <w:rsid w:val="00D31CB3"/>
    <w:rsid w:val="00D3261E"/>
    <w:rsid w:val="00D32719"/>
    <w:rsid w:val="00D33333"/>
    <w:rsid w:val="00D33457"/>
    <w:rsid w:val="00D33E49"/>
    <w:rsid w:val="00D34382"/>
    <w:rsid w:val="00D344E0"/>
    <w:rsid w:val="00D352A2"/>
    <w:rsid w:val="00D379F0"/>
    <w:rsid w:val="00D37F02"/>
    <w:rsid w:val="00D401E2"/>
    <w:rsid w:val="00D4086A"/>
    <w:rsid w:val="00D4162B"/>
    <w:rsid w:val="00D43073"/>
    <w:rsid w:val="00D4489A"/>
    <w:rsid w:val="00D4514F"/>
    <w:rsid w:val="00D451E2"/>
    <w:rsid w:val="00D45AA7"/>
    <w:rsid w:val="00D45AAF"/>
    <w:rsid w:val="00D45E89"/>
    <w:rsid w:val="00D45E8D"/>
    <w:rsid w:val="00D466AE"/>
    <w:rsid w:val="00D4734F"/>
    <w:rsid w:val="00D51BF3"/>
    <w:rsid w:val="00D53735"/>
    <w:rsid w:val="00D53A30"/>
    <w:rsid w:val="00D55D8F"/>
    <w:rsid w:val="00D5763E"/>
    <w:rsid w:val="00D60839"/>
    <w:rsid w:val="00D60962"/>
    <w:rsid w:val="00D61F20"/>
    <w:rsid w:val="00D622F2"/>
    <w:rsid w:val="00D6269C"/>
    <w:rsid w:val="00D63995"/>
    <w:rsid w:val="00D653ED"/>
    <w:rsid w:val="00D66846"/>
    <w:rsid w:val="00D675FB"/>
    <w:rsid w:val="00D70C4E"/>
    <w:rsid w:val="00D71622"/>
    <w:rsid w:val="00D71E3E"/>
    <w:rsid w:val="00D71F25"/>
    <w:rsid w:val="00D72A9C"/>
    <w:rsid w:val="00D72EB4"/>
    <w:rsid w:val="00D740BA"/>
    <w:rsid w:val="00D7449D"/>
    <w:rsid w:val="00D74931"/>
    <w:rsid w:val="00D75856"/>
    <w:rsid w:val="00D766FB"/>
    <w:rsid w:val="00D77031"/>
    <w:rsid w:val="00D80242"/>
    <w:rsid w:val="00D81DF3"/>
    <w:rsid w:val="00D84941"/>
    <w:rsid w:val="00D84FA1"/>
    <w:rsid w:val="00D851F0"/>
    <w:rsid w:val="00D8598A"/>
    <w:rsid w:val="00D86DB7"/>
    <w:rsid w:val="00D91004"/>
    <w:rsid w:val="00D926D0"/>
    <w:rsid w:val="00D92F3C"/>
    <w:rsid w:val="00D93030"/>
    <w:rsid w:val="00D950E1"/>
    <w:rsid w:val="00D952A6"/>
    <w:rsid w:val="00D96BD9"/>
    <w:rsid w:val="00D97E92"/>
    <w:rsid w:val="00D97F99"/>
    <w:rsid w:val="00DA02F2"/>
    <w:rsid w:val="00DA09D5"/>
    <w:rsid w:val="00DA1E08"/>
    <w:rsid w:val="00DA1F96"/>
    <w:rsid w:val="00DA24F8"/>
    <w:rsid w:val="00DA28E8"/>
    <w:rsid w:val="00DA29AE"/>
    <w:rsid w:val="00DA38D3"/>
    <w:rsid w:val="00DA3932"/>
    <w:rsid w:val="00DA3AFC"/>
    <w:rsid w:val="00DA3C5F"/>
    <w:rsid w:val="00DA64F8"/>
    <w:rsid w:val="00DA69AB"/>
    <w:rsid w:val="00DA6BFD"/>
    <w:rsid w:val="00DA6C15"/>
    <w:rsid w:val="00DA6D88"/>
    <w:rsid w:val="00DA737B"/>
    <w:rsid w:val="00DA784D"/>
    <w:rsid w:val="00DB0258"/>
    <w:rsid w:val="00DB12B2"/>
    <w:rsid w:val="00DB38EE"/>
    <w:rsid w:val="00DB498B"/>
    <w:rsid w:val="00DB5746"/>
    <w:rsid w:val="00DB641A"/>
    <w:rsid w:val="00DB65E7"/>
    <w:rsid w:val="00DB66CA"/>
    <w:rsid w:val="00DB6BCA"/>
    <w:rsid w:val="00DB73F7"/>
    <w:rsid w:val="00DB797C"/>
    <w:rsid w:val="00DB7D72"/>
    <w:rsid w:val="00DC0321"/>
    <w:rsid w:val="00DC15D1"/>
    <w:rsid w:val="00DC1C1A"/>
    <w:rsid w:val="00DC2D30"/>
    <w:rsid w:val="00DC3067"/>
    <w:rsid w:val="00DC370B"/>
    <w:rsid w:val="00DC3842"/>
    <w:rsid w:val="00DC5B90"/>
    <w:rsid w:val="00DC741B"/>
    <w:rsid w:val="00DC74B1"/>
    <w:rsid w:val="00DD00FF"/>
    <w:rsid w:val="00DD0619"/>
    <w:rsid w:val="00DD07FB"/>
    <w:rsid w:val="00DD16B0"/>
    <w:rsid w:val="00DD1B89"/>
    <w:rsid w:val="00DD25C6"/>
    <w:rsid w:val="00DD3040"/>
    <w:rsid w:val="00DD308E"/>
    <w:rsid w:val="00DD4031"/>
    <w:rsid w:val="00DD4FE5"/>
    <w:rsid w:val="00DD54B0"/>
    <w:rsid w:val="00DD57EE"/>
    <w:rsid w:val="00DD6BCC"/>
    <w:rsid w:val="00DE0A4B"/>
    <w:rsid w:val="00DE0A69"/>
    <w:rsid w:val="00DE115A"/>
    <w:rsid w:val="00DE2410"/>
    <w:rsid w:val="00DE2939"/>
    <w:rsid w:val="00DE2C9F"/>
    <w:rsid w:val="00DE333C"/>
    <w:rsid w:val="00DE35CC"/>
    <w:rsid w:val="00DE3FC8"/>
    <w:rsid w:val="00DE52AA"/>
    <w:rsid w:val="00DE5CDA"/>
    <w:rsid w:val="00DE6E81"/>
    <w:rsid w:val="00DE703F"/>
    <w:rsid w:val="00DE7595"/>
    <w:rsid w:val="00DE7B1E"/>
    <w:rsid w:val="00DF06DE"/>
    <w:rsid w:val="00DF0F8A"/>
    <w:rsid w:val="00DF1117"/>
    <w:rsid w:val="00DF14C0"/>
    <w:rsid w:val="00DF1961"/>
    <w:rsid w:val="00DF1B0D"/>
    <w:rsid w:val="00DF2205"/>
    <w:rsid w:val="00DF370D"/>
    <w:rsid w:val="00DF44DE"/>
    <w:rsid w:val="00DF5581"/>
    <w:rsid w:val="00DF5F11"/>
    <w:rsid w:val="00E00115"/>
    <w:rsid w:val="00E01138"/>
    <w:rsid w:val="00E01767"/>
    <w:rsid w:val="00E01A0A"/>
    <w:rsid w:val="00E01E53"/>
    <w:rsid w:val="00E02DFB"/>
    <w:rsid w:val="00E030F9"/>
    <w:rsid w:val="00E0311A"/>
    <w:rsid w:val="00E03138"/>
    <w:rsid w:val="00E0480A"/>
    <w:rsid w:val="00E05050"/>
    <w:rsid w:val="00E06404"/>
    <w:rsid w:val="00E0683C"/>
    <w:rsid w:val="00E077A8"/>
    <w:rsid w:val="00E1100F"/>
    <w:rsid w:val="00E11A85"/>
    <w:rsid w:val="00E12495"/>
    <w:rsid w:val="00E13097"/>
    <w:rsid w:val="00E13C47"/>
    <w:rsid w:val="00E13E0A"/>
    <w:rsid w:val="00E1410C"/>
    <w:rsid w:val="00E14171"/>
    <w:rsid w:val="00E15CCD"/>
    <w:rsid w:val="00E171BF"/>
    <w:rsid w:val="00E17D9A"/>
    <w:rsid w:val="00E202EF"/>
    <w:rsid w:val="00E210B5"/>
    <w:rsid w:val="00E23D99"/>
    <w:rsid w:val="00E24117"/>
    <w:rsid w:val="00E2552F"/>
    <w:rsid w:val="00E271A5"/>
    <w:rsid w:val="00E30798"/>
    <w:rsid w:val="00E30B54"/>
    <w:rsid w:val="00E3137A"/>
    <w:rsid w:val="00E32B2A"/>
    <w:rsid w:val="00E32CCF"/>
    <w:rsid w:val="00E332BC"/>
    <w:rsid w:val="00E333F0"/>
    <w:rsid w:val="00E338C6"/>
    <w:rsid w:val="00E33B1D"/>
    <w:rsid w:val="00E34A98"/>
    <w:rsid w:val="00E35D1E"/>
    <w:rsid w:val="00E362D4"/>
    <w:rsid w:val="00E364F9"/>
    <w:rsid w:val="00E365FA"/>
    <w:rsid w:val="00E366FD"/>
    <w:rsid w:val="00E36789"/>
    <w:rsid w:val="00E44A83"/>
    <w:rsid w:val="00E44E9A"/>
    <w:rsid w:val="00E46482"/>
    <w:rsid w:val="00E47781"/>
    <w:rsid w:val="00E47A23"/>
    <w:rsid w:val="00E502C1"/>
    <w:rsid w:val="00E502DD"/>
    <w:rsid w:val="00E50D3A"/>
    <w:rsid w:val="00E510E0"/>
    <w:rsid w:val="00E51387"/>
    <w:rsid w:val="00E51E68"/>
    <w:rsid w:val="00E52386"/>
    <w:rsid w:val="00E52EFD"/>
    <w:rsid w:val="00E535AF"/>
    <w:rsid w:val="00E5408A"/>
    <w:rsid w:val="00E56800"/>
    <w:rsid w:val="00E60C63"/>
    <w:rsid w:val="00E61B69"/>
    <w:rsid w:val="00E62FF9"/>
    <w:rsid w:val="00E635D6"/>
    <w:rsid w:val="00E639BC"/>
    <w:rsid w:val="00E64354"/>
    <w:rsid w:val="00E64C44"/>
    <w:rsid w:val="00E6538E"/>
    <w:rsid w:val="00E65DAA"/>
    <w:rsid w:val="00E664CC"/>
    <w:rsid w:val="00E6665C"/>
    <w:rsid w:val="00E66BBD"/>
    <w:rsid w:val="00E66FEA"/>
    <w:rsid w:val="00E673CB"/>
    <w:rsid w:val="00E67CAC"/>
    <w:rsid w:val="00E70087"/>
    <w:rsid w:val="00E70388"/>
    <w:rsid w:val="00E70F92"/>
    <w:rsid w:val="00E73C59"/>
    <w:rsid w:val="00E7467E"/>
    <w:rsid w:val="00E74C54"/>
    <w:rsid w:val="00E77A03"/>
    <w:rsid w:val="00E814F0"/>
    <w:rsid w:val="00E822E8"/>
    <w:rsid w:val="00E82554"/>
    <w:rsid w:val="00E82606"/>
    <w:rsid w:val="00E826BD"/>
    <w:rsid w:val="00E846C8"/>
    <w:rsid w:val="00E84957"/>
    <w:rsid w:val="00E84A55"/>
    <w:rsid w:val="00E85BFF"/>
    <w:rsid w:val="00E86A78"/>
    <w:rsid w:val="00E90391"/>
    <w:rsid w:val="00E906C2"/>
    <w:rsid w:val="00E910F4"/>
    <w:rsid w:val="00E92082"/>
    <w:rsid w:val="00E9276F"/>
    <w:rsid w:val="00E92F55"/>
    <w:rsid w:val="00E93104"/>
    <w:rsid w:val="00E9311F"/>
    <w:rsid w:val="00E934D1"/>
    <w:rsid w:val="00E94AF0"/>
    <w:rsid w:val="00E94DAE"/>
    <w:rsid w:val="00E94DC9"/>
    <w:rsid w:val="00E9550E"/>
    <w:rsid w:val="00E95D13"/>
    <w:rsid w:val="00E95DD3"/>
    <w:rsid w:val="00E969D5"/>
    <w:rsid w:val="00E97816"/>
    <w:rsid w:val="00E97D42"/>
    <w:rsid w:val="00E97E93"/>
    <w:rsid w:val="00EA24AD"/>
    <w:rsid w:val="00EA2836"/>
    <w:rsid w:val="00EA4B6F"/>
    <w:rsid w:val="00EA4C6D"/>
    <w:rsid w:val="00EA5286"/>
    <w:rsid w:val="00EA56F4"/>
    <w:rsid w:val="00EA58D1"/>
    <w:rsid w:val="00EA61BC"/>
    <w:rsid w:val="00EA6253"/>
    <w:rsid w:val="00EA6370"/>
    <w:rsid w:val="00EA681A"/>
    <w:rsid w:val="00EA735B"/>
    <w:rsid w:val="00EA78B1"/>
    <w:rsid w:val="00EB17DE"/>
    <w:rsid w:val="00EB1E69"/>
    <w:rsid w:val="00EB2086"/>
    <w:rsid w:val="00EB31B8"/>
    <w:rsid w:val="00EB4D8E"/>
    <w:rsid w:val="00EB5822"/>
    <w:rsid w:val="00EB5BEA"/>
    <w:rsid w:val="00EB5EDF"/>
    <w:rsid w:val="00EB60FE"/>
    <w:rsid w:val="00EB63F5"/>
    <w:rsid w:val="00EB6A23"/>
    <w:rsid w:val="00EB6DE8"/>
    <w:rsid w:val="00EB74DB"/>
    <w:rsid w:val="00EC0088"/>
    <w:rsid w:val="00EC0F1A"/>
    <w:rsid w:val="00EC2216"/>
    <w:rsid w:val="00EC24DB"/>
    <w:rsid w:val="00EC30EB"/>
    <w:rsid w:val="00EC5359"/>
    <w:rsid w:val="00EC562A"/>
    <w:rsid w:val="00EC5637"/>
    <w:rsid w:val="00EC6C46"/>
    <w:rsid w:val="00EC6E25"/>
    <w:rsid w:val="00EC6E3C"/>
    <w:rsid w:val="00EC782B"/>
    <w:rsid w:val="00ED067A"/>
    <w:rsid w:val="00ED15BD"/>
    <w:rsid w:val="00ED2B50"/>
    <w:rsid w:val="00ED3D3C"/>
    <w:rsid w:val="00ED4BFA"/>
    <w:rsid w:val="00ED4EAF"/>
    <w:rsid w:val="00ED7D4C"/>
    <w:rsid w:val="00ED7E95"/>
    <w:rsid w:val="00EE0350"/>
    <w:rsid w:val="00EE0719"/>
    <w:rsid w:val="00EE0E80"/>
    <w:rsid w:val="00EE207B"/>
    <w:rsid w:val="00EE36C8"/>
    <w:rsid w:val="00EE46CF"/>
    <w:rsid w:val="00EE4E3D"/>
    <w:rsid w:val="00EE50F6"/>
    <w:rsid w:val="00EE54A6"/>
    <w:rsid w:val="00EE613F"/>
    <w:rsid w:val="00EE6DE5"/>
    <w:rsid w:val="00EE7295"/>
    <w:rsid w:val="00EE7869"/>
    <w:rsid w:val="00EF0267"/>
    <w:rsid w:val="00EF0347"/>
    <w:rsid w:val="00EF054A"/>
    <w:rsid w:val="00EF0DB5"/>
    <w:rsid w:val="00EF2ECD"/>
    <w:rsid w:val="00EF3235"/>
    <w:rsid w:val="00EF64DE"/>
    <w:rsid w:val="00EF68D4"/>
    <w:rsid w:val="00EF74F4"/>
    <w:rsid w:val="00EF76AD"/>
    <w:rsid w:val="00EF7E72"/>
    <w:rsid w:val="00F010B0"/>
    <w:rsid w:val="00F011D5"/>
    <w:rsid w:val="00F017E0"/>
    <w:rsid w:val="00F01989"/>
    <w:rsid w:val="00F02D6D"/>
    <w:rsid w:val="00F05087"/>
    <w:rsid w:val="00F06921"/>
    <w:rsid w:val="00F06CF7"/>
    <w:rsid w:val="00F06D37"/>
    <w:rsid w:val="00F07264"/>
    <w:rsid w:val="00F07B9D"/>
    <w:rsid w:val="00F1095E"/>
    <w:rsid w:val="00F10C8A"/>
    <w:rsid w:val="00F114F7"/>
    <w:rsid w:val="00F11586"/>
    <w:rsid w:val="00F1183B"/>
    <w:rsid w:val="00F11C9F"/>
    <w:rsid w:val="00F12263"/>
    <w:rsid w:val="00F13B34"/>
    <w:rsid w:val="00F13DF2"/>
    <w:rsid w:val="00F1409D"/>
    <w:rsid w:val="00F14214"/>
    <w:rsid w:val="00F1492B"/>
    <w:rsid w:val="00F157A9"/>
    <w:rsid w:val="00F15B29"/>
    <w:rsid w:val="00F16885"/>
    <w:rsid w:val="00F2067A"/>
    <w:rsid w:val="00F207CD"/>
    <w:rsid w:val="00F20B8C"/>
    <w:rsid w:val="00F221C0"/>
    <w:rsid w:val="00F23856"/>
    <w:rsid w:val="00F249F6"/>
    <w:rsid w:val="00F25BB6"/>
    <w:rsid w:val="00F25F86"/>
    <w:rsid w:val="00F26B7E"/>
    <w:rsid w:val="00F27A3B"/>
    <w:rsid w:val="00F307CF"/>
    <w:rsid w:val="00F31989"/>
    <w:rsid w:val="00F3242E"/>
    <w:rsid w:val="00F33817"/>
    <w:rsid w:val="00F35802"/>
    <w:rsid w:val="00F35C26"/>
    <w:rsid w:val="00F35D76"/>
    <w:rsid w:val="00F374BA"/>
    <w:rsid w:val="00F37B2B"/>
    <w:rsid w:val="00F40E22"/>
    <w:rsid w:val="00F420D5"/>
    <w:rsid w:val="00F4310F"/>
    <w:rsid w:val="00F451EA"/>
    <w:rsid w:val="00F45447"/>
    <w:rsid w:val="00F456C6"/>
    <w:rsid w:val="00F4577B"/>
    <w:rsid w:val="00F460C8"/>
    <w:rsid w:val="00F46496"/>
    <w:rsid w:val="00F474D0"/>
    <w:rsid w:val="00F50179"/>
    <w:rsid w:val="00F515EE"/>
    <w:rsid w:val="00F563A2"/>
    <w:rsid w:val="00F56511"/>
    <w:rsid w:val="00F56599"/>
    <w:rsid w:val="00F6194E"/>
    <w:rsid w:val="00F623A4"/>
    <w:rsid w:val="00F623AC"/>
    <w:rsid w:val="00F6412A"/>
    <w:rsid w:val="00F64F52"/>
    <w:rsid w:val="00F65893"/>
    <w:rsid w:val="00F65D29"/>
    <w:rsid w:val="00F66A4A"/>
    <w:rsid w:val="00F678FF"/>
    <w:rsid w:val="00F70163"/>
    <w:rsid w:val="00F7020F"/>
    <w:rsid w:val="00F71E22"/>
    <w:rsid w:val="00F72142"/>
    <w:rsid w:val="00F727B1"/>
    <w:rsid w:val="00F72AE7"/>
    <w:rsid w:val="00F76B40"/>
    <w:rsid w:val="00F76DD1"/>
    <w:rsid w:val="00F77A27"/>
    <w:rsid w:val="00F77EF6"/>
    <w:rsid w:val="00F81141"/>
    <w:rsid w:val="00F81570"/>
    <w:rsid w:val="00F8171C"/>
    <w:rsid w:val="00F81A8F"/>
    <w:rsid w:val="00F833BA"/>
    <w:rsid w:val="00F84BCA"/>
    <w:rsid w:val="00F84FD0"/>
    <w:rsid w:val="00F859A8"/>
    <w:rsid w:val="00F86D87"/>
    <w:rsid w:val="00F86FE6"/>
    <w:rsid w:val="00F907D2"/>
    <w:rsid w:val="00F90D13"/>
    <w:rsid w:val="00F9108B"/>
    <w:rsid w:val="00F91349"/>
    <w:rsid w:val="00F93A8A"/>
    <w:rsid w:val="00F95248"/>
    <w:rsid w:val="00F956A9"/>
    <w:rsid w:val="00F959E8"/>
    <w:rsid w:val="00F963ED"/>
    <w:rsid w:val="00F966CF"/>
    <w:rsid w:val="00F96CAE"/>
    <w:rsid w:val="00F97C99"/>
    <w:rsid w:val="00FA303E"/>
    <w:rsid w:val="00FA30F3"/>
    <w:rsid w:val="00FA4DAC"/>
    <w:rsid w:val="00FA662D"/>
    <w:rsid w:val="00FA73B1"/>
    <w:rsid w:val="00FA7DE1"/>
    <w:rsid w:val="00FB0CB9"/>
    <w:rsid w:val="00FB170D"/>
    <w:rsid w:val="00FB231D"/>
    <w:rsid w:val="00FB385D"/>
    <w:rsid w:val="00FB3C46"/>
    <w:rsid w:val="00FB3DD9"/>
    <w:rsid w:val="00FB4041"/>
    <w:rsid w:val="00FB45F1"/>
    <w:rsid w:val="00FB4A72"/>
    <w:rsid w:val="00FB4D70"/>
    <w:rsid w:val="00FB54E8"/>
    <w:rsid w:val="00FB6EB1"/>
    <w:rsid w:val="00FB7054"/>
    <w:rsid w:val="00FC17B7"/>
    <w:rsid w:val="00FC2CB7"/>
    <w:rsid w:val="00FC33EE"/>
    <w:rsid w:val="00FC4090"/>
    <w:rsid w:val="00FC46C1"/>
    <w:rsid w:val="00FC4C75"/>
    <w:rsid w:val="00FC55B4"/>
    <w:rsid w:val="00FC5DA4"/>
    <w:rsid w:val="00FC5F27"/>
    <w:rsid w:val="00FD0027"/>
    <w:rsid w:val="00FD00E6"/>
    <w:rsid w:val="00FD021F"/>
    <w:rsid w:val="00FD09A1"/>
    <w:rsid w:val="00FD1290"/>
    <w:rsid w:val="00FD14F4"/>
    <w:rsid w:val="00FD2266"/>
    <w:rsid w:val="00FD2A7C"/>
    <w:rsid w:val="00FD59EB"/>
    <w:rsid w:val="00FD7299"/>
    <w:rsid w:val="00FD7B4B"/>
    <w:rsid w:val="00FE0105"/>
    <w:rsid w:val="00FE1210"/>
    <w:rsid w:val="00FE1FBE"/>
    <w:rsid w:val="00FE2CE8"/>
    <w:rsid w:val="00FE2D43"/>
    <w:rsid w:val="00FE32A9"/>
    <w:rsid w:val="00FE3901"/>
    <w:rsid w:val="00FE39D3"/>
    <w:rsid w:val="00FE3B99"/>
    <w:rsid w:val="00FE4798"/>
    <w:rsid w:val="00FE4BCE"/>
    <w:rsid w:val="00FE54AE"/>
    <w:rsid w:val="00FE576A"/>
    <w:rsid w:val="00FE579D"/>
    <w:rsid w:val="00FE7338"/>
    <w:rsid w:val="00FE7866"/>
    <w:rsid w:val="00FE7E79"/>
    <w:rsid w:val="00FF19D2"/>
    <w:rsid w:val="00FF3E7D"/>
    <w:rsid w:val="00FF5505"/>
    <w:rsid w:val="00FF5B99"/>
    <w:rsid w:val="00FF63FC"/>
    <w:rsid w:val="00FF730C"/>
    <w:rsid w:val="00FF73F4"/>
    <w:rsid w:val="00FF78B1"/>
    <w:rsid w:val="00FF7CE4"/>
    <w:rsid w:val="00FF7E39"/>
    <w:rsid w:val="66D01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annotation text"/>
    <w:basedOn w:val="1"/>
    <w:link w:val="234"/>
    <w:unhideWhenUsed/>
    <w:uiPriority w:val="99"/>
    <w:pPr>
      <w:jc w:val="left"/>
    </w:pPr>
  </w:style>
  <w:style w:type="paragraph" w:styleId="14">
    <w:name w:val="Body Text"/>
    <w:basedOn w:val="1"/>
    <w:link w:val="89"/>
    <w:uiPriority w:val="0"/>
    <w:pPr>
      <w:spacing w:after="120"/>
    </w:pPr>
  </w:style>
  <w:style w:type="paragraph" w:styleId="15">
    <w:name w:val="toc 5"/>
    <w:basedOn w:val="1"/>
    <w:next w:val="1"/>
    <w:autoRedefine/>
    <w:unhideWhenUsed/>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uiPriority w:val="99"/>
    <w:rPr>
      <w:b/>
      <w:bCs/>
    </w:rPr>
  </w:style>
  <w:style w:type="table" w:styleId="29">
    <w:name w:val="Table Grid"/>
    <w:basedOn w:val="2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uiPriority w:val="0"/>
    <w:rPr>
      <w:rFonts w:ascii="宋体" w:hAnsi="Times New Roman" w:eastAsia="宋体"/>
      <w:sz w:val="18"/>
    </w:rPr>
  </w:style>
  <w:style w:type="character" w:styleId="33">
    <w:name w:val="Emphasis"/>
    <w:qFormat/>
    <w:uiPriority w:val="20"/>
    <w:rPr>
      <w:i/>
      <w:iCs/>
    </w:rPr>
  </w:style>
  <w:style w:type="character" w:styleId="34">
    <w:name w:val="Hyperlink"/>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uiPriority w:val="0"/>
    <w:pPr>
      <w:snapToGrid w:val="0"/>
      <w:ind w:firstLine="200" w:firstLineChars="200"/>
    </w:pPr>
    <w:rPr>
      <w:kern w:val="0"/>
    </w:rPr>
  </w:style>
  <w:style w:type="paragraph" w:customStyle="1" w:styleId="59">
    <w:name w:val="标准文件_段"/>
    <w:link w:val="187"/>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uiPriority w:val="0"/>
    <w:pPr>
      <w:spacing w:line="310" w:lineRule="exact"/>
      <w:jc w:val="right"/>
    </w:pPr>
    <w:rPr>
      <w:rFonts w:ascii="宋体" w:hAnsi="宋体"/>
      <w:kern w:val="0"/>
    </w:rPr>
  </w:style>
  <w:style w:type="paragraph" w:customStyle="1" w:styleId="63">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left="0"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uiPriority w:val="0"/>
    <w:pPr>
      <w:spacing w:line="240" w:lineRule="auto"/>
    </w:pPr>
    <w:rPr>
      <w:rFonts w:ascii="宋体" w:hAnsi="宋体"/>
      <w:iCs/>
    </w:rPr>
  </w:style>
  <w:style w:type="paragraph" w:customStyle="1" w:styleId="147">
    <w:name w:val="目录 41"/>
    <w:basedOn w:val="1"/>
    <w:next w:val="1"/>
    <w:autoRedefine/>
    <w:semiHidden/>
    <w:uiPriority w:val="0"/>
    <w:pPr>
      <w:adjustRightInd/>
      <w:spacing w:line="240" w:lineRule="auto"/>
      <w:jc w:val="left"/>
    </w:pPr>
  </w:style>
  <w:style w:type="paragraph" w:customStyle="1" w:styleId="148">
    <w:name w:val="目录 51"/>
    <w:basedOn w:val="1"/>
    <w:next w:val="1"/>
    <w:autoRedefine/>
    <w:semiHidden/>
    <w:uiPriority w:val="0"/>
    <w:pPr>
      <w:spacing w:line="240" w:lineRule="auto"/>
    </w:pPr>
    <w:rPr>
      <w:rFonts w:ascii="宋体" w:hAnsi="宋体"/>
    </w:rPr>
  </w:style>
  <w:style w:type="paragraph" w:customStyle="1" w:styleId="149">
    <w:name w:val="目录 61"/>
    <w:basedOn w:val="1"/>
    <w:next w:val="1"/>
    <w:autoRedefine/>
    <w:semiHidden/>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uiPriority w:val="0"/>
    <w:pPr>
      <w:jc w:val="both"/>
    </w:pPr>
    <w:rPr>
      <w:rFonts w:ascii="宋体" w:hAnsi="宋体" w:eastAsia="宋体" w:cs="Times New Roman"/>
      <w:sz w:val="21"/>
      <w:lang w:val="en-US" w:eastAsia="zh-CN" w:bidi="ar-SA"/>
    </w:rPr>
  </w:style>
  <w:style w:type="paragraph" w:customStyle="1" w:styleId="161">
    <w:name w:val="五级无标题条"/>
    <w:basedOn w:val="1"/>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一级条标题"/>
    <w:next w:val="1"/>
    <w:uiPriority w:val="0"/>
    <w:p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234">
    <w:name w:val="批注文字 字符"/>
    <w:basedOn w:val="30"/>
    <w:link w:val="13"/>
    <w:uiPriority w:val="99"/>
    <w:rPr>
      <w:kern w:val="2"/>
      <w:sz w:val="21"/>
      <w:szCs w:val="21"/>
    </w:rPr>
  </w:style>
  <w:style w:type="character" w:customStyle="1" w:styleId="235">
    <w:name w:val="批注主题 字符"/>
    <w:basedOn w:val="234"/>
    <w:link w:val="27"/>
    <w:semiHidden/>
    <w:uiPriority w:val="99"/>
    <w:rPr>
      <w:b/>
      <w:bCs/>
      <w:kern w:val="2"/>
      <w:sz w:val="21"/>
      <w:szCs w:val="21"/>
    </w:rPr>
  </w:style>
  <w:style w:type="paragraph" w:customStyle="1" w:styleId="236">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6.jpeg"/><Relationship Id="rId31" Type="http://schemas.openxmlformats.org/officeDocument/2006/relationships/image" Target="media/image5.emf"/><Relationship Id="rId30" Type="http://schemas.openxmlformats.org/officeDocument/2006/relationships/package" Target="embeddings/Microsoft_Visio___4.vsdx"/><Relationship Id="rId3" Type="http://schemas.openxmlformats.org/officeDocument/2006/relationships/footnotes" Target="footnotes.xml"/><Relationship Id="rId29" Type="http://schemas.openxmlformats.org/officeDocument/2006/relationships/image" Target="media/image4.emf"/><Relationship Id="rId28" Type="http://schemas.openxmlformats.org/officeDocument/2006/relationships/package" Target="embeddings/Microsoft_Visio___3.vsdx"/><Relationship Id="rId27" Type="http://schemas.openxmlformats.org/officeDocument/2006/relationships/image" Target="media/image3.emf"/><Relationship Id="rId26" Type="http://schemas.openxmlformats.org/officeDocument/2006/relationships/package" Target="embeddings/Microsoft_Visio___2.vsdx"/><Relationship Id="rId25" Type="http://schemas.openxmlformats.org/officeDocument/2006/relationships/image" Target="media/image2.emf"/><Relationship Id="rId24" Type="http://schemas.openxmlformats.org/officeDocument/2006/relationships/package" Target="embeddings/Microsoft_Visio___1.vsdx"/><Relationship Id="rId23" Type="http://schemas.openxmlformats.org/officeDocument/2006/relationships/image" Target="media/image1.tif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7D3D2A97DC450FAE045D43D89759A5"/>
        <w:style w:val=""/>
        <w:category>
          <w:name w:val="常规"/>
          <w:gallery w:val="placeholder"/>
        </w:category>
        <w:types>
          <w:type w:val="bbPlcHdr"/>
        </w:types>
        <w:behaviors>
          <w:behavior w:val="content"/>
        </w:behaviors>
        <w:description w:val=""/>
        <w:guid w:val="{5B9BDD3E-3CD9-4DB5-9254-DDBA44472A1D}"/>
      </w:docPartPr>
      <w:docPartBody>
        <w:p w14:paraId="4EF727A2">
          <w:pPr>
            <w:pStyle w:val="5"/>
            <w:rPr>
              <w:rFonts w:hint="eastAsia"/>
            </w:rPr>
          </w:pPr>
          <w:r>
            <w:rPr>
              <w:rStyle w:val="4"/>
              <w:rFonts w:hint="eastAsia"/>
            </w:rPr>
            <w:t>单击或点击此处输入文字。</w:t>
          </w:r>
        </w:p>
      </w:docPartBody>
    </w:docPart>
    <w:docPart>
      <w:docPartPr>
        <w:name w:val="710070FA435040C793D3EEE0D1DE1D0B"/>
        <w:style w:val=""/>
        <w:category>
          <w:name w:val="常规"/>
          <w:gallery w:val="placeholder"/>
        </w:category>
        <w:types>
          <w:type w:val="bbPlcHdr"/>
        </w:types>
        <w:behaviors>
          <w:behavior w:val="content"/>
        </w:behaviors>
        <w:description w:val=""/>
        <w:guid w:val="{48EBA038-27A0-4F3D-8785-70491210A587}"/>
      </w:docPartPr>
      <w:docPartBody>
        <w:p w14:paraId="1342EA49">
          <w:pPr>
            <w:pStyle w:val="6"/>
            <w:rPr>
              <w:rFonts w:hint="eastAsia"/>
            </w:rPr>
          </w:pPr>
          <w:r>
            <w:rPr>
              <w:rStyle w:val="4"/>
              <w:rFonts w:hint="eastAsia"/>
            </w:rPr>
            <w:t>选择一项。</w:t>
          </w:r>
        </w:p>
      </w:docPartBody>
    </w:docPart>
    <w:docPart>
      <w:docPartPr>
        <w:name w:val="0E34414DB8B64D8BB14D55BC3955DCAA"/>
        <w:style w:val=""/>
        <w:category>
          <w:name w:val="常规"/>
          <w:gallery w:val="placeholder"/>
        </w:category>
        <w:types>
          <w:type w:val="bbPlcHdr"/>
        </w:types>
        <w:behaviors>
          <w:behavior w:val="content"/>
        </w:behaviors>
        <w:description w:val=""/>
        <w:guid w:val="{116C99F9-9DD1-46C3-B148-D08F5F8DDB99}"/>
      </w:docPartPr>
      <w:docPartBody>
        <w:p w14:paraId="53597EB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210"/>
    <w:rsid w:val="00001E65"/>
    <w:rsid w:val="000139DF"/>
    <w:rsid w:val="00016146"/>
    <w:rsid w:val="000247D9"/>
    <w:rsid w:val="00092F76"/>
    <w:rsid w:val="00094866"/>
    <w:rsid w:val="000A02F3"/>
    <w:rsid w:val="000E380A"/>
    <w:rsid w:val="00104D82"/>
    <w:rsid w:val="00113410"/>
    <w:rsid w:val="00113AE4"/>
    <w:rsid w:val="00116C94"/>
    <w:rsid w:val="0012030D"/>
    <w:rsid w:val="00131604"/>
    <w:rsid w:val="0014185C"/>
    <w:rsid w:val="001456B0"/>
    <w:rsid w:val="001525C3"/>
    <w:rsid w:val="00154A9E"/>
    <w:rsid w:val="001742E1"/>
    <w:rsid w:val="00181CBF"/>
    <w:rsid w:val="0018326F"/>
    <w:rsid w:val="001D6451"/>
    <w:rsid w:val="001F7DA3"/>
    <w:rsid w:val="00226ACD"/>
    <w:rsid w:val="002807D6"/>
    <w:rsid w:val="002B7EAF"/>
    <w:rsid w:val="00301FF6"/>
    <w:rsid w:val="00306F94"/>
    <w:rsid w:val="00307A01"/>
    <w:rsid w:val="00322210"/>
    <w:rsid w:val="00327C1E"/>
    <w:rsid w:val="0035052A"/>
    <w:rsid w:val="003509C2"/>
    <w:rsid w:val="00377988"/>
    <w:rsid w:val="003834D4"/>
    <w:rsid w:val="003B5554"/>
    <w:rsid w:val="003C1BA4"/>
    <w:rsid w:val="003D0BFC"/>
    <w:rsid w:val="003E5EC7"/>
    <w:rsid w:val="003F1849"/>
    <w:rsid w:val="003F43D7"/>
    <w:rsid w:val="00411B27"/>
    <w:rsid w:val="004208EF"/>
    <w:rsid w:val="00436C70"/>
    <w:rsid w:val="00443672"/>
    <w:rsid w:val="00452373"/>
    <w:rsid w:val="00453D19"/>
    <w:rsid w:val="004748C5"/>
    <w:rsid w:val="00480763"/>
    <w:rsid w:val="004849AF"/>
    <w:rsid w:val="00486477"/>
    <w:rsid w:val="00487BBA"/>
    <w:rsid w:val="00495001"/>
    <w:rsid w:val="004A3092"/>
    <w:rsid w:val="004E097E"/>
    <w:rsid w:val="004E2542"/>
    <w:rsid w:val="005043B8"/>
    <w:rsid w:val="00520A7A"/>
    <w:rsid w:val="00520D42"/>
    <w:rsid w:val="0058161B"/>
    <w:rsid w:val="005833AB"/>
    <w:rsid w:val="005923C9"/>
    <w:rsid w:val="005928D7"/>
    <w:rsid w:val="005A4725"/>
    <w:rsid w:val="005C5EE6"/>
    <w:rsid w:val="005D1ACC"/>
    <w:rsid w:val="005F5131"/>
    <w:rsid w:val="00606990"/>
    <w:rsid w:val="006174DA"/>
    <w:rsid w:val="0064267A"/>
    <w:rsid w:val="00644C22"/>
    <w:rsid w:val="00671514"/>
    <w:rsid w:val="006C0699"/>
    <w:rsid w:val="006C7C19"/>
    <w:rsid w:val="006D1185"/>
    <w:rsid w:val="006D782D"/>
    <w:rsid w:val="006E0246"/>
    <w:rsid w:val="006E2898"/>
    <w:rsid w:val="007255C7"/>
    <w:rsid w:val="00735EF8"/>
    <w:rsid w:val="007368E1"/>
    <w:rsid w:val="00741DF0"/>
    <w:rsid w:val="007731FD"/>
    <w:rsid w:val="00777325"/>
    <w:rsid w:val="007831C1"/>
    <w:rsid w:val="007B3274"/>
    <w:rsid w:val="007E06C0"/>
    <w:rsid w:val="007E4D2F"/>
    <w:rsid w:val="008046D0"/>
    <w:rsid w:val="00815116"/>
    <w:rsid w:val="008164DB"/>
    <w:rsid w:val="00825E4C"/>
    <w:rsid w:val="00827ED2"/>
    <w:rsid w:val="00831AC1"/>
    <w:rsid w:val="00832DBF"/>
    <w:rsid w:val="00850503"/>
    <w:rsid w:val="00872BDE"/>
    <w:rsid w:val="008912B5"/>
    <w:rsid w:val="008D4B63"/>
    <w:rsid w:val="00922B13"/>
    <w:rsid w:val="00994269"/>
    <w:rsid w:val="009D6402"/>
    <w:rsid w:val="009E4821"/>
    <w:rsid w:val="00A117EE"/>
    <w:rsid w:val="00A503D9"/>
    <w:rsid w:val="00A56FDB"/>
    <w:rsid w:val="00A57FA4"/>
    <w:rsid w:val="00A63963"/>
    <w:rsid w:val="00A75E10"/>
    <w:rsid w:val="00A94924"/>
    <w:rsid w:val="00AA2DF0"/>
    <w:rsid w:val="00AC151D"/>
    <w:rsid w:val="00AC3ECE"/>
    <w:rsid w:val="00AC6C2A"/>
    <w:rsid w:val="00AD4CDA"/>
    <w:rsid w:val="00AD59B3"/>
    <w:rsid w:val="00AE06D3"/>
    <w:rsid w:val="00B01893"/>
    <w:rsid w:val="00B1078D"/>
    <w:rsid w:val="00B4022B"/>
    <w:rsid w:val="00B44467"/>
    <w:rsid w:val="00B9553A"/>
    <w:rsid w:val="00BA7F4A"/>
    <w:rsid w:val="00BB1502"/>
    <w:rsid w:val="00BB7EFD"/>
    <w:rsid w:val="00BC4EA7"/>
    <w:rsid w:val="00BC5521"/>
    <w:rsid w:val="00BD0468"/>
    <w:rsid w:val="00BD12F9"/>
    <w:rsid w:val="00BE31ED"/>
    <w:rsid w:val="00BE759B"/>
    <w:rsid w:val="00BF7754"/>
    <w:rsid w:val="00C054D9"/>
    <w:rsid w:val="00C07EB8"/>
    <w:rsid w:val="00C100A5"/>
    <w:rsid w:val="00C22B66"/>
    <w:rsid w:val="00C3167E"/>
    <w:rsid w:val="00C578F3"/>
    <w:rsid w:val="00C6238A"/>
    <w:rsid w:val="00C62AF9"/>
    <w:rsid w:val="00C7214D"/>
    <w:rsid w:val="00C723A7"/>
    <w:rsid w:val="00C75813"/>
    <w:rsid w:val="00C75F45"/>
    <w:rsid w:val="00C8079D"/>
    <w:rsid w:val="00CA36E2"/>
    <w:rsid w:val="00CA7351"/>
    <w:rsid w:val="00CB644D"/>
    <w:rsid w:val="00CD0681"/>
    <w:rsid w:val="00CD3414"/>
    <w:rsid w:val="00CD650F"/>
    <w:rsid w:val="00CF3A9C"/>
    <w:rsid w:val="00CF3E96"/>
    <w:rsid w:val="00CF5504"/>
    <w:rsid w:val="00D15350"/>
    <w:rsid w:val="00D30C63"/>
    <w:rsid w:val="00D31CB3"/>
    <w:rsid w:val="00D322A5"/>
    <w:rsid w:val="00D4172A"/>
    <w:rsid w:val="00D6048C"/>
    <w:rsid w:val="00DB3E1F"/>
    <w:rsid w:val="00DF2EA1"/>
    <w:rsid w:val="00E031EC"/>
    <w:rsid w:val="00E039BE"/>
    <w:rsid w:val="00E16A52"/>
    <w:rsid w:val="00E362D4"/>
    <w:rsid w:val="00E53AB0"/>
    <w:rsid w:val="00E55EFA"/>
    <w:rsid w:val="00E56982"/>
    <w:rsid w:val="00E669D4"/>
    <w:rsid w:val="00E67884"/>
    <w:rsid w:val="00E910F4"/>
    <w:rsid w:val="00E922F0"/>
    <w:rsid w:val="00E94D43"/>
    <w:rsid w:val="00EA64AB"/>
    <w:rsid w:val="00EA7FDF"/>
    <w:rsid w:val="00EC1DB1"/>
    <w:rsid w:val="00EE4154"/>
    <w:rsid w:val="00EF0152"/>
    <w:rsid w:val="00F3242E"/>
    <w:rsid w:val="00F469F7"/>
    <w:rsid w:val="00F57350"/>
    <w:rsid w:val="00F60DDD"/>
    <w:rsid w:val="00FA3106"/>
    <w:rsid w:val="00FB68C0"/>
    <w:rsid w:val="00FD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17D3D2A97DC450FAE045D43D89759A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10070FA435040C793D3EEE0D1DE1D0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34414DB8B64D8BB14D55BC3955DCAA"/>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7CF6C9-4BD0-4CE9-9A2D-6A208C8F8DF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4250</Words>
  <Characters>4800</Characters>
  <Lines>490</Lines>
  <Paragraphs>479</Paragraphs>
  <TotalTime>4</TotalTime>
  <ScaleCrop>false</ScaleCrop>
  <LinksUpToDate>false</LinksUpToDate>
  <CharactersWithSpaces>4960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2024-09-13T06:41:00Z</dcterms:created>
  <dc:creator>nyi_xihu@outlook.com</dc:creator>
  <dc:description>&lt;config cover="true" show_menu="true" version="1.0.0" doctype="SDKXY"&gt;_x000d_
&lt;/config&gt;</dc:description>
  <cp:lastModifiedBy>8237476611</cp:lastModifiedBy>
  <cp:lastPrinted>2024-09-18T11:30:00Z</cp:lastPrinted>
  <dcterms:modified xsi:type="dcterms:W3CDTF">2024-09-29T06:07:30Z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2052-12.1.0.18276</vt:lpwstr>
  </property>
  <property fmtid="{D5CDD505-2E9C-101B-9397-08002B2CF9AE}" pid="16" name="ICV">
    <vt:lpwstr>08BD4307FEFB46A494D91F0F9E049669_12</vt:lpwstr>
  </property>
</Properties>
</file>